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64952" w14:textId="3E0A300D" w:rsidR="003C3607" w:rsidRPr="000D5696" w:rsidRDefault="003C3607" w:rsidP="008A3BD4">
      <w:pPr>
        <w:rPr>
          <w:rFonts w:cs="Times New Roman"/>
          <w:szCs w:val="24"/>
        </w:rPr>
      </w:pPr>
      <w:r w:rsidRPr="000D5696">
        <w:rPr>
          <w:rFonts w:cs="Times New Roman"/>
          <w:b/>
          <w:szCs w:val="24"/>
        </w:rPr>
        <w:t>Medical sociology</w:t>
      </w:r>
      <w:r w:rsidRPr="000D5696">
        <w:rPr>
          <w:rFonts w:cs="Times New Roman"/>
          <w:szCs w:val="24"/>
        </w:rPr>
        <w:t xml:space="preserve"> is the study of a person's feelings, culture, and all the social factors and the scientific study of the social patterning of health. Parsons is the founding father of medical sociology, who applied social role theory to interactional relations between sick people. The social factors studied in medical sociology include class, race, gender, religion, ethnicity, educational status, age, gender, location, and cultural practices. All these factors influence and determine human health.</w:t>
      </w:r>
    </w:p>
    <w:p w14:paraId="7460F803" w14:textId="56342453" w:rsidR="00961D4A" w:rsidRPr="000D5696" w:rsidRDefault="00961D4A" w:rsidP="008A3BD4">
      <w:pPr>
        <w:rPr>
          <w:rFonts w:cs="Times New Roman"/>
          <w:szCs w:val="24"/>
        </w:rPr>
      </w:pPr>
      <w:r w:rsidRPr="000D5696">
        <w:rPr>
          <w:rFonts w:cs="Times New Roman"/>
          <w:b/>
          <w:szCs w:val="24"/>
        </w:rPr>
        <w:t>Medical sociology</w:t>
      </w:r>
      <w:r w:rsidRPr="000D5696">
        <w:rPr>
          <w:rFonts w:cs="Times New Roman"/>
          <w:szCs w:val="24"/>
        </w:rPr>
        <w:t xml:space="preserve"> is concerned with the study of the effects of social and cultural factors on health and medicine. It includes an analysis of medical institutions and organizations with the aim of improving medical and health facilities as well as for solving the existing medical problems and issues. Over the years, medical sociology has made several contributions to the field of medicine such as the study of sick role, illness experience, social construction of illness and medical knowledge among many others. </w:t>
      </w:r>
    </w:p>
    <w:p w14:paraId="4617B79D" w14:textId="77777777" w:rsidR="003C3607" w:rsidRPr="000D5696" w:rsidRDefault="003C3607" w:rsidP="008A3BD4">
      <w:pPr>
        <w:rPr>
          <w:rFonts w:cs="Times New Roman"/>
          <w:szCs w:val="24"/>
        </w:rPr>
      </w:pPr>
      <w:r w:rsidRPr="000D5696">
        <w:rPr>
          <w:rFonts w:cs="Times New Roman"/>
          <w:szCs w:val="24"/>
        </w:rPr>
        <w:t>The study of medical sociology degree helps people prepare for their career in healthcare, research, government data analysis, and other relevant industries. Medical sociologists specifically study the impact of social and cultural factors on health care. Their research involves studying the access to the medical care of several ethnic groups and social classes. The methods studied involve the broader socioeconomic factors that shape the organizational structures used by healthcare providers.</w:t>
      </w:r>
    </w:p>
    <w:p w14:paraId="16EBE04C" w14:textId="77777777" w:rsidR="003C3607" w:rsidRPr="000D5696" w:rsidRDefault="003C3607" w:rsidP="008A3BD4">
      <w:pPr>
        <w:rPr>
          <w:rFonts w:cs="Times New Roman"/>
          <w:szCs w:val="24"/>
        </w:rPr>
      </w:pPr>
      <w:r w:rsidRPr="000D5696">
        <w:rPr>
          <w:rFonts w:cs="Times New Roman"/>
          <w:szCs w:val="24"/>
        </w:rPr>
        <w:t xml:space="preserve">The study of medical sociology follows two approaches. It views medicine as a social institution which one should study through sociological hypotheses and as an applied enterprise that seeks to reduce the health burdens of humans. One of the tasks in this study consists of the explanation of the social environment that affects human health. Medical sociology works in several disciplinary </w:t>
      </w:r>
      <w:r w:rsidRPr="000D5696">
        <w:rPr>
          <w:rFonts w:cs="Times New Roman"/>
          <w:szCs w:val="24"/>
        </w:rPr>
        <w:lastRenderedPageBreak/>
        <w:t>settings in research, while social medicine generally functions within the framework of biological and medical scientists.</w:t>
      </w:r>
    </w:p>
    <w:p w14:paraId="4673EDA0" w14:textId="77777777" w:rsidR="00606546" w:rsidRPr="000D5696" w:rsidRDefault="00606546">
      <w:pPr>
        <w:rPr>
          <w:rFonts w:cs="Times New Roman"/>
          <w:b/>
          <w:szCs w:val="24"/>
        </w:rPr>
      </w:pPr>
      <w:r w:rsidRPr="000D5696">
        <w:rPr>
          <w:rFonts w:cs="Times New Roman"/>
          <w:b/>
          <w:szCs w:val="24"/>
        </w:rPr>
        <w:t xml:space="preserve">Principles of Medical Sociology </w:t>
      </w:r>
    </w:p>
    <w:p w14:paraId="2BBF906D" w14:textId="77777777" w:rsidR="00606546" w:rsidRPr="000D5696" w:rsidRDefault="00606546">
      <w:pPr>
        <w:rPr>
          <w:rFonts w:cs="Times New Roman"/>
          <w:szCs w:val="24"/>
        </w:rPr>
      </w:pPr>
      <w:r w:rsidRPr="000D5696">
        <w:rPr>
          <w:rFonts w:cs="Times New Roman"/>
          <w:szCs w:val="24"/>
        </w:rPr>
        <w:t xml:space="preserve">Medical sociology or “health sociology”, as it is now referred, adopts the basic ideas from general sociology and applies their theories and methods to analyze two major areas of inquiry: </w:t>
      </w:r>
    </w:p>
    <w:p w14:paraId="7E16B820" w14:textId="0A0DC799" w:rsidR="00606546" w:rsidRPr="000D5696" w:rsidRDefault="00606546">
      <w:pPr>
        <w:rPr>
          <w:rFonts w:cs="Times New Roman"/>
          <w:szCs w:val="24"/>
        </w:rPr>
      </w:pPr>
      <w:r w:rsidRPr="000D5696">
        <w:rPr>
          <w:rFonts w:cs="Times New Roman"/>
          <w:szCs w:val="24"/>
        </w:rPr>
        <w:sym w:font="Symbol" w:char="F0B7"/>
      </w:r>
      <w:r w:rsidRPr="000D5696">
        <w:rPr>
          <w:rFonts w:cs="Times New Roman"/>
          <w:szCs w:val="24"/>
        </w:rPr>
        <w:t xml:space="preserve"> </w:t>
      </w:r>
      <w:r w:rsidR="00531ED1" w:rsidRPr="000D5696">
        <w:rPr>
          <w:rFonts w:cs="Times New Roman"/>
          <w:szCs w:val="24"/>
        </w:rPr>
        <w:t>The</w:t>
      </w:r>
      <w:r w:rsidRPr="000D5696">
        <w:rPr>
          <w:rFonts w:cs="Times New Roman"/>
          <w:szCs w:val="24"/>
        </w:rPr>
        <w:t xml:space="preserve"> social determinants of human health and health-related behaviour </w:t>
      </w:r>
    </w:p>
    <w:p w14:paraId="23C13EC3" w14:textId="4DB389D1" w:rsidR="00606546" w:rsidRPr="000D5696" w:rsidRDefault="00606546">
      <w:pPr>
        <w:rPr>
          <w:rFonts w:cs="Times New Roman"/>
          <w:szCs w:val="24"/>
        </w:rPr>
      </w:pPr>
      <w:r w:rsidRPr="000D5696">
        <w:rPr>
          <w:rFonts w:cs="Times New Roman"/>
          <w:szCs w:val="24"/>
        </w:rPr>
        <w:sym w:font="Symbol" w:char="F0B7"/>
      </w:r>
      <w:r w:rsidRPr="000D5696">
        <w:rPr>
          <w:rFonts w:cs="Times New Roman"/>
          <w:szCs w:val="24"/>
        </w:rPr>
        <w:t xml:space="preserve"> </w:t>
      </w:r>
      <w:r w:rsidR="00531ED1" w:rsidRPr="000D5696">
        <w:rPr>
          <w:rFonts w:cs="Times New Roman"/>
          <w:szCs w:val="24"/>
        </w:rPr>
        <w:t>The</w:t>
      </w:r>
      <w:r w:rsidRPr="000D5696">
        <w:rPr>
          <w:rFonts w:cs="Times New Roman"/>
          <w:szCs w:val="24"/>
        </w:rPr>
        <w:t xml:space="preserve"> social organization of health care, health professions, and their interaction with patients. </w:t>
      </w:r>
    </w:p>
    <w:p w14:paraId="4CB2F74C" w14:textId="47918D84" w:rsidR="00CA748D" w:rsidRPr="000D5696" w:rsidRDefault="00606546">
      <w:pPr>
        <w:rPr>
          <w:rFonts w:cs="Times New Roman"/>
          <w:szCs w:val="24"/>
        </w:rPr>
      </w:pPr>
      <w:r w:rsidRPr="000D5696">
        <w:rPr>
          <w:rFonts w:cs="Times New Roman"/>
          <w:szCs w:val="24"/>
        </w:rPr>
        <w:t>The first area is referred to as “</w:t>
      </w:r>
      <w:r w:rsidRPr="000D5696">
        <w:rPr>
          <w:rFonts w:cs="Times New Roman"/>
          <w:b/>
          <w:szCs w:val="24"/>
        </w:rPr>
        <w:t>sociology in medicine</w:t>
      </w:r>
      <w:r w:rsidRPr="000D5696">
        <w:rPr>
          <w:rFonts w:cs="Times New Roman"/>
          <w:szCs w:val="24"/>
        </w:rPr>
        <w:t>,” this is due to its problem-oriented approach that marries sociology with biomedical knowledge. The second area is termed as “</w:t>
      </w:r>
      <w:r w:rsidRPr="000D5696">
        <w:rPr>
          <w:rFonts w:cs="Times New Roman"/>
          <w:b/>
          <w:szCs w:val="24"/>
        </w:rPr>
        <w:t>sociology of medicine”</w:t>
      </w:r>
      <w:r w:rsidRPr="000D5696">
        <w:rPr>
          <w:rFonts w:cs="Times New Roman"/>
          <w:szCs w:val="24"/>
        </w:rPr>
        <w:t xml:space="preserve"> since it analyzes the health care system from the perspective of a broader social system. Medical sociology works on the principle and the premise that health and illness cannot be simply regarded as a biological or medical phenomenon only.</w:t>
      </w:r>
    </w:p>
    <w:p w14:paraId="0044D648" w14:textId="28E699C5" w:rsidR="00606546" w:rsidRPr="000D5696" w:rsidRDefault="00606546" w:rsidP="00606546">
      <w:pPr>
        <w:rPr>
          <w:rFonts w:cs="Times New Roman"/>
          <w:szCs w:val="24"/>
        </w:rPr>
      </w:pPr>
      <w:r w:rsidRPr="000D5696">
        <w:rPr>
          <w:rFonts w:cs="Times New Roman"/>
          <w:szCs w:val="24"/>
        </w:rPr>
        <w:t>The sociology of health includes disease, social epidemiology, disability, mental</w:t>
      </w:r>
      <w:r w:rsidR="00531ED1" w:rsidRPr="000D5696">
        <w:rPr>
          <w:rFonts w:cs="Times New Roman"/>
          <w:szCs w:val="24"/>
        </w:rPr>
        <w:t xml:space="preserve"> </w:t>
      </w:r>
      <w:r w:rsidRPr="000D5696">
        <w:rPr>
          <w:rFonts w:cs="Times New Roman"/>
          <w:szCs w:val="24"/>
        </w:rPr>
        <w:t>health, and medicalization. Medical sociology is per</w:t>
      </w:r>
      <w:r w:rsidR="00531ED1" w:rsidRPr="000D5696">
        <w:rPr>
          <w:rFonts w:cs="Times New Roman"/>
          <w:szCs w:val="24"/>
        </w:rPr>
        <w:t xml:space="preserve">ceived, organized, and executed </w:t>
      </w:r>
      <w:r w:rsidRPr="000D5696">
        <w:rPr>
          <w:rFonts w:cs="Times New Roman"/>
          <w:szCs w:val="24"/>
        </w:rPr>
        <w:t>on the lines of cultural, economic, political, and institutional context.</w:t>
      </w:r>
    </w:p>
    <w:p w14:paraId="6791FFFC" w14:textId="77777777" w:rsidR="000D5696" w:rsidRDefault="00606546" w:rsidP="008A3BD4">
      <w:pPr>
        <w:rPr>
          <w:rFonts w:cs="Times New Roman"/>
          <w:szCs w:val="24"/>
        </w:rPr>
      </w:pPr>
      <w:r w:rsidRPr="000D5696">
        <w:rPr>
          <w:rFonts w:cs="Times New Roman"/>
          <w:szCs w:val="24"/>
        </w:rPr>
        <w:t xml:space="preserve">While sociology is about the systematic </w:t>
      </w:r>
      <w:r w:rsidR="00531ED1" w:rsidRPr="000D5696">
        <w:rPr>
          <w:rFonts w:cs="Times New Roman"/>
          <w:szCs w:val="24"/>
        </w:rPr>
        <w:t xml:space="preserve">study of human behaviour in the </w:t>
      </w:r>
      <w:r w:rsidRPr="000D5696">
        <w:rPr>
          <w:rFonts w:cs="Times New Roman"/>
          <w:szCs w:val="24"/>
        </w:rPr>
        <w:t>social domain, medical sociology is about the</w:t>
      </w:r>
      <w:r w:rsidR="00531ED1" w:rsidRPr="000D5696">
        <w:rPr>
          <w:rFonts w:cs="Times New Roman"/>
          <w:szCs w:val="24"/>
        </w:rPr>
        <w:t xml:space="preserve"> systematic study of how humans </w:t>
      </w:r>
      <w:r w:rsidRPr="000D5696">
        <w:rPr>
          <w:rFonts w:cs="Times New Roman"/>
          <w:szCs w:val="24"/>
        </w:rPr>
        <w:t>learn to tackle issues of illness, health, disorder, and disease, and general healthrelated care both for the healthy and the sic</w:t>
      </w:r>
      <w:r w:rsidR="00531ED1" w:rsidRPr="000D5696">
        <w:rPr>
          <w:rFonts w:cs="Times New Roman"/>
          <w:szCs w:val="24"/>
        </w:rPr>
        <w:t xml:space="preserve">k. Medical sociologists concern </w:t>
      </w:r>
      <w:r w:rsidRPr="000D5696">
        <w:rPr>
          <w:rFonts w:cs="Times New Roman"/>
          <w:szCs w:val="24"/>
        </w:rPr>
        <w:t>themselves with doctor-patient relationships, e</w:t>
      </w:r>
      <w:r w:rsidR="00531ED1" w:rsidRPr="000D5696">
        <w:rPr>
          <w:rFonts w:cs="Times New Roman"/>
          <w:szCs w:val="24"/>
        </w:rPr>
        <w:t xml:space="preserve">xplore the cultural impacts and </w:t>
      </w:r>
      <w:r w:rsidRPr="000D5696">
        <w:rPr>
          <w:rFonts w:cs="Times New Roman"/>
          <w:szCs w:val="24"/>
        </w:rPr>
        <w:t>attitudes towards disease and wellness, and study t</w:t>
      </w:r>
      <w:r w:rsidR="00531ED1" w:rsidRPr="000D5696">
        <w:rPr>
          <w:rFonts w:cs="Times New Roman"/>
          <w:szCs w:val="24"/>
        </w:rPr>
        <w:t xml:space="preserve">he structure and socioeconomics </w:t>
      </w:r>
      <w:r w:rsidRPr="000D5696">
        <w:rPr>
          <w:rFonts w:cs="Times New Roman"/>
          <w:szCs w:val="24"/>
        </w:rPr>
        <w:t xml:space="preserve">of health care. </w:t>
      </w:r>
      <w:r w:rsidRPr="000D5696">
        <w:rPr>
          <w:rFonts w:cs="Times New Roman"/>
          <w:szCs w:val="24"/>
        </w:rPr>
        <w:lastRenderedPageBreak/>
        <w:t>Within the domain of medical sociol</w:t>
      </w:r>
      <w:r w:rsidR="00531ED1" w:rsidRPr="000D5696">
        <w:rPr>
          <w:rFonts w:cs="Times New Roman"/>
          <w:szCs w:val="24"/>
        </w:rPr>
        <w:t xml:space="preserve">ogy, the social construction of </w:t>
      </w:r>
      <w:r w:rsidRPr="000D5696">
        <w:rPr>
          <w:rFonts w:cs="Times New Roman"/>
          <w:szCs w:val="24"/>
        </w:rPr>
        <w:t>health occupies a major area as a research topic.</w:t>
      </w:r>
    </w:p>
    <w:p w14:paraId="13EBF13C" w14:textId="38492F17" w:rsidR="00606546" w:rsidRPr="000D5696" w:rsidRDefault="000D5696" w:rsidP="008A3BD4">
      <w:pPr>
        <w:rPr>
          <w:rFonts w:ascii="Arial" w:hAnsi="Arial" w:cs="Arial"/>
          <w:color w:val="1F1F1F"/>
          <w:sz w:val="30"/>
          <w:szCs w:val="30"/>
          <w:shd w:val="clear" w:color="auto" w:fill="FFFFFF"/>
        </w:rPr>
      </w:pPr>
      <w:r w:rsidRPr="000D5696">
        <w:rPr>
          <w:rFonts w:ascii="Arial" w:hAnsi="Arial" w:cs="Arial"/>
          <w:color w:val="1F1F1F"/>
          <w:sz w:val="30"/>
          <w:szCs w:val="30"/>
          <w:shd w:val="clear" w:color="auto" w:fill="FFFFFF"/>
        </w:rPr>
        <w:t xml:space="preserve"> </w:t>
      </w:r>
      <w:r w:rsidRPr="000D5696">
        <w:rPr>
          <w:rFonts w:cs="Times New Roman"/>
          <w:color w:val="1F1F1F"/>
          <w:szCs w:val="24"/>
          <w:shd w:val="clear" w:color="auto" w:fill="FFFFFF"/>
        </w:rPr>
        <w:t>Medical sociology looks at how social institutions, such as the division of labor and class inequalities, affect the wider manifestations of health and illness throughout a society. Medical anthropology explores issues of culture and learned practices, as well as how these factors affect the individual.</w:t>
      </w:r>
    </w:p>
    <w:p w14:paraId="0C2E52CE" w14:textId="4F4A2670" w:rsidR="00606546" w:rsidRPr="000D5696" w:rsidRDefault="00606546" w:rsidP="00606546">
      <w:pPr>
        <w:rPr>
          <w:rFonts w:cs="Times New Roman"/>
          <w:szCs w:val="24"/>
        </w:rPr>
      </w:pPr>
      <w:r w:rsidRPr="000D5696">
        <w:rPr>
          <w:rFonts w:cs="Times New Roman"/>
          <w:szCs w:val="24"/>
        </w:rPr>
        <w:t>The idea of the social construction of health emphasizes</w:t>
      </w:r>
      <w:r w:rsidR="00531ED1" w:rsidRPr="000D5696">
        <w:rPr>
          <w:rFonts w:cs="Times New Roman"/>
          <w:szCs w:val="24"/>
        </w:rPr>
        <w:t xml:space="preserve"> the socio-cultural </w:t>
      </w:r>
      <w:r w:rsidRPr="000D5696">
        <w:rPr>
          <w:rFonts w:cs="Times New Roman"/>
          <w:szCs w:val="24"/>
        </w:rPr>
        <w:t>aspects of the physical definable phenomena. S</w:t>
      </w:r>
      <w:r w:rsidR="00531ED1" w:rsidRPr="000D5696">
        <w:rPr>
          <w:rFonts w:cs="Times New Roman"/>
          <w:szCs w:val="24"/>
        </w:rPr>
        <w:t xml:space="preserve">ociologists, Conrad, and Barker </w:t>
      </w:r>
      <w:r w:rsidRPr="000D5696">
        <w:rPr>
          <w:rFonts w:cs="Times New Roman"/>
          <w:szCs w:val="24"/>
        </w:rPr>
        <w:t>(2010) have comprehensively presented the majo</w:t>
      </w:r>
      <w:r w:rsidR="00531ED1" w:rsidRPr="000D5696">
        <w:rPr>
          <w:rFonts w:cs="Times New Roman"/>
          <w:szCs w:val="24"/>
        </w:rPr>
        <w:t xml:space="preserve">r findings of the last 50 years </w:t>
      </w:r>
      <w:r w:rsidRPr="000D5696">
        <w:rPr>
          <w:rFonts w:cs="Times New Roman"/>
          <w:szCs w:val="24"/>
        </w:rPr>
        <w:t>with respect to the development of the concept.</w:t>
      </w:r>
    </w:p>
    <w:p w14:paraId="63C60C1E" w14:textId="57D33D39" w:rsidR="00606546" w:rsidRPr="000D5696" w:rsidRDefault="00606546" w:rsidP="00606546">
      <w:pPr>
        <w:rPr>
          <w:rFonts w:cs="Times New Roman"/>
          <w:szCs w:val="24"/>
        </w:rPr>
      </w:pPr>
      <w:r w:rsidRPr="000D5696">
        <w:rPr>
          <w:rFonts w:cs="Times New Roman"/>
          <w:szCs w:val="24"/>
        </w:rPr>
        <w:t>The summary presents the findings in the field in broadly three categoriesthe cultural meaning of illness, the social construction of illness experience, and the social construction of medical knowledge.</w:t>
      </w:r>
    </w:p>
    <w:p w14:paraId="1CC8DD84" w14:textId="25FEDA02" w:rsidR="00606546" w:rsidRPr="000D5696" w:rsidRDefault="00606546" w:rsidP="00606546">
      <w:pPr>
        <w:rPr>
          <w:rFonts w:cs="Times New Roman"/>
          <w:szCs w:val="24"/>
        </w:rPr>
      </w:pPr>
      <w:r w:rsidRPr="000D5696">
        <w:rPr>
          <w:rFonts w:cs="Times New Roman"/>
          <w:szCs w:val="24"/>
        </w:rPr>
        <w:t xml:space="preserve">As has been mentioned above, there have been dramatic changes in the health status and health care systems over the past 50 years. Medical sociology has also evolved side by side and it has contributed immensely in understanding illness, disease prevention, and the treatment process. These contributions have been studied by Janet R Hankin and Eric </w:t>
      </w:r>
      <w:proofErr w:type="gramStart"/>
      <w:r w:rsidRPr="000D5696">
        <w:rPr>
          <w:rFonts w:cs="Times New Roman"/>
          <w:szCs w:val="24"/>
        </w:rPr>
        <w:t>R.Writh</w:t>
      </w:r>
      <w:proofErr w:type="gramEnd"/>
      <w:r w:rsidRPr="000D5696">
        <w:rPr>
          <w:rFonts w:cs="Times New Roman"/>
          <w:szCs w:val="24"/>
        </w:rPr>
        <w:t xml:space="preserve"> and presented in their article</w:t>
      </w:r>
    </w:p>
    <w:p w14:paraId="1004C1E5" w14:textId="026231C6" w:rsidR="00606546" w:rsidRPr="000D5696" w:rsidRDefault="00606546" w:rsidP="00606546">
      <w:pPr>
        <w:rPr>
          <w:rFonts w:cs="Times New Roman"/>
          <w:szCs w:val="24"/>
        </w:rPr>
      </w:pPr>
      <w:r w:rsidRPr="000D5696">
        <w:rPr>
          <w:rFonts w:cs="Times New Roman"/>
          <w:szCs w:val="24"/>
        </w:rPr>
        <w:t>“Reflections on Fifty Years of Medical Sociology”. Per se the contributions have been distributed into eleven broad areas within medical sociology:</w:t>
      </w:r>
    </w:p>
    <w:p w14:paraId="218F2976" w14:textId="77777777" w:rsidR="00606546" w:rsidRPr="000D5696" w:rsidRDefault="00606546" w:rsidP="00EB0DCA">
      <w:pPr>
        <w:spacing w:line="240" w:lineRule="auto"/>
        <w:rPr>
          <w:rFonts w:cs="Times New Roman"/>
          <w:szCs w:val="24"/>
        </w:rPr>
      </w:pPr>
      <w:r w:rsidRPr="000D5696">
        <w:rPr>
          <w:rFonts w:cs="Times New Roman"/>
          <w:szCs w:val="24"/>
        </w:rPr>
        <w:t>1. Racial-ethnic disparities in health care</w:t>
      </w:r>
    </w:p>
    <w:p w14:paraId="0C366159" w14:textId="77777777" w:rsidR="00606546" w:rsidRPr="000D5696" w:rsidRDefault="00606546" w:rsidP="00EB0DCA">
      <w:pPr>
        <w:spacing w:line="240" w:lineRule="auto"/>
        <w:rPr>
          <w:rFonts w:cs="Times New Roman"/>
          <w:szCs w:val="24"/>
        </w:rPr>
      </w:pPr>
      <w:r w:rsidRPr="000D5696">
        <w:rPr>
          <w:rFonts w:cs="Times New Roman"/>
          <w:szCs w:val="24"/>
        </w:rPr>
        <w:t>2. Fundamental causes of health inequalities</w:t>
      </w:r>
    </w:p>
    <w:p w14:paraId="1D413FC4" w14:textId="77777777" w:rsidR="00606546" w:rsidRPr="000D5696" w:rsidRDefault="00606546" w:rsidP="00EB0DCA">
      <w:pPr>
        <w:spacing w:line="240" w:lineRule="auto"/>
        <w:rPr>
          <w:rFonts w:cs="Times New Roman"/>
          <w:szCs w:val="24"/>
        </w:rPr>
      </w:pPr>
      <w:r w:rsidRPr="000D5696">
        <w:rPr>
          <w:rFonts w:cs="Times New Roman"/>
          <w:szCs w:val="24"/>
        </w:rPr>
        <w:lastRenderedPageBreak/>
        <w:t>3. Stress and health</w:t>
      </w:r>
    </w:p>
    <w:p w14:paraId="6B381106" w14:textId="77777777" w:rsidR="00606546" w:rsidRPr="000D5696" w:rsidRDefault="00606546" w:rsidP="00EB0DCA">
      <w:pPr>
        <w:spacing w:line="240" w:lineRule="auto"/>
        <w:rPr>
          <w:rFonts w:cs="Times New Roman"/>
          <w:szCs w:val="24"/>
        </w:rPr>
      </w:pPr>
      <w:r w:rsidRPr="000D5696">
        <w:rPr>
          <w:rFonts w:cs="Times New Roman"/>
          <w:szCs w:val="24"/>
        </w:rPr>
        <w:t>4. Social relationships and health</w:t>
      </w:r>
    </w:p>
    <w:p w14:paraId="60F216AD" w14:textId="77777777" w:rsidR="00606546" w:rsidRPr="000D5696" w:rsidRDefault="00606546" w:rsidP="00EB0DCA">
      <w:pPr>
        <w:spacing w:line="240" w:lineRule="auto"/>
        <w:rPr>
          <w:rFonts w:cs="Times New Roman"/>
          <w:szCs w:val="24"/>
        </w:rPr>
      </w:pPr>
      <w:r w:rsidRPr="000D5696">
        <w:rPr>
          <w:rFonts w:cs="Times New Roman"/>
          <w:szCs w:val="24"/>
        </w:rPr>
        <w:t>5. The social construction of illness</w:t>
      </w:r>
    </w:p>
    <w:p w14:paraId="425CE2A8" w14:textId="77777777" w:rsidR="00606546" w:rsidRPr="000D5696" w:rsidRDefault="00606546" w:rsidP="00EB0DCA">
      <w:pPr>
        <w:spacing w:line="240" w:lineRule="auto"/>
        <w:rPr>
          <w:rFonts w:cs="Times New Roman"/>
          <w:szCs w:val="24"/>
        </w:rPr>
      </w:pPr>
      <w:r w:rsidRPr="000D5696">
        <w:rPr>
          <w:rFonts w:cs="Times New Roman"/>
          <w:szCs w:val="24"/>
        </w:rPr>
        <w:t>6. Patient-provider relationships and help-seeking behaviour</w:t>
      </w:r>
    </w:p>
    <w:p w14:paraId="007031E2" w14:textId="77777777" w:rsidR="00606546" w:rsidRPr="000D5696" w:rsidRDefault="00606546" w:rsidP="00EB0DCA">
      <w:pPr>
        <w:spacing w:line="240" w:lineRule="auto"/>
        <w:rPr>
          <w:rFonts w:cs="Times New Roman"/>
          <w:szCs w:val="24"/>
        </w:rPr>
      </w:pPr>
      <w:r w:rsidRPr="000D5696">
        <w:rPr>
          <w:rFonts w:cs="Times New Roman"/>
          <w:szCs w:val="24"/>
        </w:rPr>
        <w:t>7. The social transformation of the medical profession</w:t>
      </w:r>
    </w:p>
    <w:p w14:paraId="6B365F53" w14:textId="77777777" w:rsidR="00606546" w:rsidRPr="000D5696" w:rsidRDefault="00606546" w:rsidP="00EB0DCA">
      <w:pPr>
        <w:spacing w:line="240" w:lineRule="auto"/>
        <w:rPr>
          <w:rFonts w:cs="Times New Roman"/>
          <w:szCs w:val="24"/>
        </w:rPr>
      </w:pPr>
      <w:r w:rsidRPr="000D5696">
        <w:rPr>
          <w:rFonts w:cs="Times New Roman"/>
          <w:szCs w:val="24"/>
        </w:rPr>
        <w:t>8. Health service research</w:t>
      </w:r>
    </w:p>
    <w:p w14:paraId="1FF3E426" w14:textId="77777777" w:rsidR="00606546" w:rsidRPr="000D5696" w:rsidRDefault="00606546" w:rsidP="00EB0DCA">
      <w:pPr>
        <w:spacing w:line="240" w:lineRule="auto"/>
        <w:rPr>
          <w:rFonts w:cs="Times New Roman"/>
          <w:szCs w:val="24"/>
        </w:rPr>
      </w:pPr>
      <w:r w:rsidRPr="000D5696">
        <w:rPr>
          <w:rFonts w:cs="Times New Roman"/>
          <w:szCs w:val="24"/>
        </w:rPr>
        <w:t>9. Technology</w:t>
      </w:r>
    </w:p>
    <w:p w14:paraId="6A844185" w14:textId="77777777" w:rsidR="00606546" w:rsidRPr="000D5696" w:rsidRDefault="00606546" w:rsidP="00EB0DCA">
      <w:pPr>
        <w:spacing w:line="240" w:lineRule="auto"/>
        <w:rPr>
          <w:rFonts w:cs="Times New Roman"/>
          <w:szCs w:val="24"/>
        </w:rPr>
      </w:pPr>
      <w:r w:rsidRPr="000D5696">
        <w:rPr>
          <w:rFonts w:cs="Times New Roman"/>
          <w:szCs w:val="24"/>
        </w:rPr>
        <w:t>10. Bioethics</w:t>
      </w:r>
    </w:p>
    <w:p w14:paraId="176DDB6D" w14:textId="77777777" w:rsidR="00EB0DCA" w:rsidRDefault="00606546" w:rsidP="00EB0DCA">
      <w:pPr>
        <w:spacing w:line="240" w:lineRule="auto"/>
        <w:rPr>
          <w:rFonts w:ascii="Cambria" w:hAnsi="Cambria"/>
          <w:color w:val="1B1B1B"/>
          <w:sz w:val="28"/>
          <w:szCs w:val="28"/>
          <w:shd w:val="clear" w:color="auto" w:fill="FFFFFF"/>
        </w:rPr>
      </w:pPr>
      <w:r w:rsidRPr="000D5696">
        <w:rPr>
          <w:rFonts w:cs="Times New Roman"/>
          <w:szCs w:val="24"/>
        </w:rPr>
        <w:t>11. Health reform</w:t>
      </w:r>
      <w:r w:rsidR="00EB0DCA" w:rsidRPr="00EB0DCA">
        <w:rPr>
          <w:rFonts w:ascii="Cambria" w:hAnsi="Cambria"/>
          <w:color w:val="1B1B1B"/>
          <w:sz w:val="28"/>
          <w:szCs w:val="28"/>
          <w:shd w:val="clear" w:color="auto" w:fill="FFFFFF"/>
        </w:rPr>
        <w:t xml:space="preserve"> </w:t>
      </w:r>
    </w:p>
    <w:p w14:paraId="6ED2829A" w14:textId="21A79C56" w:rsidR="00606546" w:rsidRPr="00EB0DCA" w:rsidRDefault="00EB0DCA" w:rsidP="00EB0DCA">
      <w:pPr>
        <w:rPr>
          <w:rFonts w:cs="Times New Roman"/>
          <w:szCs w:val="24"/>
        </w:rPr>
      </w:pPr>
      <w:r w:rsidRPr="00EB0DCA">
        <w:rPr>
          <w:rFonts w:cs="Times New Roman"/>
          <w:color w:val="1B1B1B"/>
          <w:szCs w:val="24"/>
          <w:shd w:val="clear" w:color="auto" w:fill="FFFFFF"/>
        </w:rPr>
        <w:t xml:space="preserve">Psychiatry is a medical subdiscipline that works most closely with the social </w:t>
      </w:r>
      <w:r w:rsidRPr="00EB0DCA">
        <w:rPr>
          <w:rFonts w:cs="Times New Roman"/>
          <w:color w:val="1B1B1B"/>
          <w:szCs w:val="24"/>
          <w:shd w:val="clear" w:color="auto" w:fill="FFFFFF"/>
        </w:rPr>
        <w:t>sciences,</w:t>
      </w:r>
      <w:r w:rsidRPr="00EB0DCA">
        <w:rPr>
          <w:rFonts w:cs="Times New Roman"/>
          <w:color w:val="1B1B1B"/>
          <w:szCs w:val="24"/>
          <w:shd w:val="clear" w:color="auto" w:fill="FFFFFF"/>
        </w:rPr>
        <w:t xml:space="preserve"> especially sociology. The thrust of social psychiatry is on the social and cultural context of mental health and illness. Social psychiatry is concerned with the cultural and social factors that engender, precipitate, intensify, or prolong maladaptive </w:t>
      </w:r>
      <w:proofErr w:type="spellStart"/>
      <w:r w:rsidRPr="00EB0DCA">
        <w:rPr>
          <w:rFonts w:cs="Times New Roman"/>
          <w:color w:val="1B1B1B"/>
          <w:szCs w:val="24"/>
          <w:shd w:val="clear" w:color="auto" w:fill="FFFFFF"/>
        </w:rPr>
        <w:t>behaviour</w:t>
      </w:r>
      <w:proofErr w:type="spellEnd"/>
      <w:r w:rsidRPr="00EB0DCA">
        <w:rPr>
          <w:rFonts w:cs="Times New Roman"/>
          <w:color w:val="1B1B1B"/>
          <w:szCs w:val="24"/>
          <w:shd w:val="clear" w:color="auto" w:fill="FFFFFF"/>
        </w:rPr>
        <w:t xml:space="preserve"> and complicate the management of mental disorders. It is also defined as a field of psychiatry based on the study of sociocultural and ecologic influences on the development and course/trajectory of mental </w:t>
      </w:r>
      <w:r w:rsidRPr="00EB0DCA">
        <w:rPr>
          <w:rFonts w:cs="Times New Roman"/>
          <w:color w:val="1B1B1B"/>
          <w:szCs w:val="24"/>
          <w:shd w:val="clear" w:color="auto" w:fill="FFFFFF"/>
        </w:rPr>
        <w:t>diseases.</w:t>
      </w:r>
      <w:r w:rsidRPr="00EB0DCA">
        <w:rPr>
          <w:rFonts w:cs="Times New Roman"/>
          <w:color w:val="1B1B1B"/>
          <w:szCs w:val="24"/>
          <w:shd w:val="clear" w:color="auto" w:fill="FFFFFF"/>
        </w:rPr>
        <w:t xml:space="preserve"> Because of evidence-based social aspects of mental health, social psychiatry is perhaps the most visible aspect of mental health management. It also leads to the emergence of subprofessionals in psychiatry, known as social psychiatrists. Mental health has much to do with lifestyles and social conditions. In fact, most manifestations of mental disorders depict the contravention of normal standards of </w:t>
      </w:r>
      <w:proofErr w:type="spellStart"/>
      <w:r w:rsidRPr="00EB0DCA">
        <w:rPr>
          <w:rFonts w:cs="Times New Roman"/>
          <w:color w:val="1B1B1B"/>
          <w:szCs w:val="24"/>
          <w:shd w:val="clear" w:color="auto" w:fill="FFFFFF"/>
        </w:rPr>
        <w:t>behaviour</w:t>
      </w:r>
      <w:proofErr w:type="spellEnd"/>
      <w:r w:rsidRPr="00EB0DCA">
        <w:rPr>
          <w:rFonts w:cs="Times New Roman"/>
          <w:color w:val="1B1B1B"/>
          <w:szCs w:val="24"/>
          <w:shd w:val="clear" w:color="auto" w:fill="FFFFFF"/>
        </w:rPr>
        <w:t xml:space="preserve"> in the society. This implies that in most cases, a mental disorder is </w:t>
      </w:r>
      <w:proofErr w:type="spellStart"/>
      <w:r w:rsidRPr="00EB0DCA">
        <w:rPr>
          <w:rFonts w:cs="Times New Roman"/>
          <w:color w:val="1B1B1B"/>
          <w:szCs w:val="24"/>
          <w:shd w:val="clear" w:color="auto" w:fill="FFFFFF"/>
        </w:rPr>
        <w:t>recognised</w:t>
      </w:r>
      <w:proofErr w:type="spellEnd"/>
      <w:r w:rsidRPr="00EB0DCA">
        <w:rPr>
          <w:rFonts w:cs="Times New Roman"/>
          <w:color w:val="1B1B1B"/>
          <w:szCs w:val="24"/>
          <w:shd w:val="clear" w:color="auto" w:fill="FFFFFF"/>
        </w:rPr>
        <w:t xml:space="preserve"> through excessive abnormal </w:t>
      </w:r>
      <w:proofErr w:type="spellStart"/>
      <w:r w:rsidRPr="00EB0DCA">
        <w:rPr>
          <w:rFonts w:cs="Times New Roman"/>
          <w:color w:val="1B1B1B"/>
          <w:szCs w:val="24"/>
          <w:shd w:val="clear" w:color="auto" w:fill="FFFFFF"/>
        </w:rPr>
        <w:t>behaviour</w:t>
      </w:r>
      <w:proofErr w:type="spellEnd"/>
      <w:r w:rsidRPr="00EB0DCA">
        <w:rPr>
          <w:rFonts w:cs="Times New Roman"/>
          <w:color w:val="1B1B1B"/>
          <w:szCs w:val="24"/>
          <w:shd w:val="clear" w:color="auto" w:fill="FFFFFF"/>
        </w:rPr>
        <w:t xml:space="preserve"> within the social </w:t>
      </w:r>
      <w:r w:rsidRPr="00EB0DCA">
        <w:rPr>
          <w:rFonts w:cs="Times New Roman"/>
          <w:color w:val="1B1B1B"/>
          <w:szCs w:val="24"/>
          <w:shd w:val="clear" w:color="auto" w:fill="FFFFFF"/>
        </w:rPr>
        <w:t>system.</w:t>
      </w:r>
      <w:r w:rsidRPr="00EB0DCA">
        <w:rPr>
          <w:rFonts w:cs="Times New Roman"/>
          <w:color w:val="1B1B1B"/>
          <w:szCs w:val="24"/>
          <w:shd w:val="clear" w:color="auto" w:fill="FFFFFF"/>
        </w:rPr>
        <w:t xml:space="preserve"> Hence, there was a shift in psychiatric ideology to the patient’s </w:t>
      </w:r>
      <w:proofErr w:type="spellStart"/>
      <w:r w:rsidRPr="00EB0DCA">
        <w:rPr>
          <w:rFonts w:cs="Times New Roman"/>
          <w:color w:val="1B1B1B"/>
          <w:szCs w:val="24"/>
          <w:shd w:val="clear" w:color="auto" w:fill="FFFFFF"/>
        </w:rPr>
        <w:t>behaviour</w:t>
      </w:r>
      <w:proofErr w:type="spellEnd"/>
      <w:r w:rsidRPr="00EB0DCA">
        <w:rPr>
          <w:rFonts w:cs="Times New Roman"/>
          <w:color w:val="1B1B1B"/>
          <w:szCs w:val="24"/>
          <w:shd w:val="clear" w:color="auto" w:fill="FFFFFF"/>
        </w:rPr>
        <w:t xml:space="preserve"> and social relationships (Pilgrim and Rogers </w:t>
      </w:r>
      <w:hyperlink r:id="rId5" w:anchor="CR44" w:history="1">
        <w:r w:rsidRPr="00EB0DCA">
          <w:rPr>
            <w:rFonts w:cs="Times New Roman"/>
            <w:color w:val="005EA2"/>
            <w:szCs w:val="24"/>
            <w:shd w:val="clear" w:color="auto" w:fill="FFFFFF"/>
          </w:rPr>
          <w:t>1994</w:t>
        </w:r>
      </w:hyperlink>
      <w:r w:rsidRPr="00EB0DCA">
        <w:rPr>
          <w:rFonts w:cs="Times New Roman"/>
          <w:color w:val="1B1B1B"/>
          <w:szCs w:val="24"/>
          <w:shd w:val="clear" w:color="auto" w:fill="FFFFFF"/>
        </w:rPr>
        <w:t>)</w:t>
      </w:r>
    </w:p>
    <w:p w14:paraId="35EED027" w14:textId="27F2D6F0" w:rsidR="00606546" w:rsidRDefault="00606546" w:rsidP="00606546">
      <w:pPr>
        <w:rPr>
          <w:rFonts w:cs="Times New Roman"/>
          <w:szCs w:val="24"/>
        </w:rPr>
      </w:pPr>
      <w:r w:rsidRPr="000D5696">
        <w:rPr>
          <w:rFonts w:cs="Times New Roman"/>
          <w:szCs w:val="24"/>
        </w:rPr>
        <w:lastRenderedPageBreak/>
        <w:t>The principles of medical sociology have therefore undergone a metamorphosis. The different theories have been tested; some have stood the test of time while the others have either been rejected altogether or have morphed.</w:t>
      </w:r>
    </w:p>
    <w:p w14:paraId="2A2C8AD5" w14:textId="77777777" w:rsidR="00EB0DCA" w:rsidRPr="000D5696" w:rsidRDefault="00EB0DCA" w:rsidP="00606546">
      <w:pPr>
        <w:rPr>
          <w:rFonts w:cs="Times New Roman"/>
          <w:szCs w:val="24"/>
        </w:rPr>
      </w:pPr>
    </w:p>
    <w:p w14:paraId="49C0EBF8" w14:textId="56254874" w:rsidR="00C33C80" w:rsidRPr="000D5696" w:rsidRDefault="000B3F6E" w:rsidP="00606546">
      <w:pPr>
        <w:rPr>
          <w:rFonts w:cs="Times New Roman"/>
          <w:b/>
          <w:szCs w:val="24"/>
        </w:rPr>
      </w:pPr>
      <w:r w:rsidRPr="000D5696">
        <w:rPr>
          <w:rFonts w:cs="Times New Roman"/>
          <w:b/>
          <w:szCs w:val="24"/>
        </w:rPr>
        <w:t>The</w:t>
      </w:r>
      <w:r w:rsidR="00606546" w:rsidRPr="000D5696">
        <w:rPr>
          <w:rFonts w:cs="Times New Roman"/>
          <w:b/>
          <w:szCs w:val="24"/>
        </w:rPr>
        <w:t xml:space="preserve"> theory of symbolic interaction </w:t>
      </w:r>
    </w:p>
    <w:p w14:paraId="04D9EC0D" w14:textId="30932DFB" w:rsidR="00606546" w:rsidRPr="000D5696" w:rsidRDefault="00606546" w:rsidP="00606546">
      <w:pPr>
        <w:rPr>
          <w:rFonts w:cs="Times New Roman"/>
          <w:szCs w:val="24"/>
        </w:rPr>
      </w:pPr>
      <w:r w:rsidRPr="000D5696">
        <w:rPr>
          <w:rFonts w:cs="Times New Roman"/>
          <w:szCs w:val="24"/>
        </w:rPr>
        <w:t xml:space="preserve">The proponents of the symbolic interaction theory of medical sociology have created an important new perspective on health and morbidity. For example, the owners of the symbolic interaction distinguish between the concepts of disease {disease} and illness} as the first refers to specific diseases that affect the human body, while the second indicates social implications Attributable to that disease, including experiences gained, social relationships, and patterns of behavior related to the patient. In essence, the perspective of symbolic interaction stems largely from the work of George Herbert Mead (Mead, 1934) and Herbert Blumer (Blumer, 1969). The main issue of the owners of symbolic interaction is that the human soul is the result of the interaction existing between members of society. Cooley (ch.1902) The Self-Reflective Woman Theory indicates that people have the ability to know themselves through the reactions of others. This social perspective influenced two famous scholars of symbolic interaction, namely: Anselm Strauss and </w:t>
      </w:r>
      <w:proofErr w:type="spellStart"/>
      <w:r w:rsidRPr="000D5696">
        <w:rPr>
          <w:rFonts w:cs="Times New Roman"/>
          <w:szCs w:val="24"/>
        </w:rPr>
        <w:t>Warving</w:t>
      </w:r>
      <w:proofErr w:type="spellEnd"/>
      <w:r w:rsidRPr="000D5696">
        <w:rPr>
          <w:rFonts w:cs="Times New Roman"/>
          <w:szCs w:val="24"/>
        </w:rPr>
        <w:t xml:space="preserve"> Goffman. Strauss's contributions are evident in his joint work with Goffman, Howard Baker and others in their study of medical school preparation (Becker, et al. 1961) Strauss achieved his breakthrough in theory and research methods in a number of fields, including his joint work with Claire on the social process of death and death in which he portrayed the suffering of patients before their death, and the negligence they encounter on the part of their caregivers of doctors and nurses. (Glaser and Straus, 1965, 1968).</w:t>
      </w:r>
    </w:p>
    <w:p w14:paraId="151E2CFB" w14:textId="5E2E5C79" w:rsidR="00C33C80" w:rsidRPr="000D5696" w:rsidRDefault="00C33C80" w:rsidP="00606546">
      <w:pPr>
        <w:rPr>
          <w:rFonts w:cs="Times New Roman"/>
          <w:szCs w:val="24"/>
        </w:rPr>
      </w:pPr>
      <w:r w:rsidRPr="000D5696">
        <w:rPr>
          <w:rFonts w:cs="Times New Roman"/>
          <w:szCs w:val="24"/>
        </w:rPr>
        <w:lastRenderedPageBreak/>
        <w:t>He also collaborated with Howard Becker in the book Intruders (Becker, et al. Outsiders1963), and is the main thinker behind the theory of the adjective or stigma, which indicates that deviant behavior does not represent the real action, but rather is the result of others ’definition of deviation. This concept is particularly useful in medical sociology, as Thomas Schiff (</w:t>
      </w:r>
      <w:proofErr w:type="spellStart"/>
      <w:r w:rsidRPr="000D5696">
        <w:rPr>
          <w:rFonts w:cs="Times New Roman"/>
          <w:szCs w:val="24"/>
        </w:rPr>
        <w:t>Thamas</w:t>
      </w:r>
      <w:proofErr w:type="spellEnd"/>
      <w:r w:rsidRPr="000D5696">
        <w:rPr>
          <w:rFonts w:cs="Times New Roman"/>
          <w:szCs w:val="24"/>
        </w:rPr>
        <w:t xml:space="preserve"> </w:t>
      </w:r>
      <w:proofErr w:type="spellStart"/>
      <w:r w:rsidRPr="000D5696">
        <w:rPr>
          <w:rFonts w:cs="Times New Roman"/>
          <w:szCs w:val="24"/>
        </w:rPr>
        <w:t>Scheff</w:t>
      </w:r>
      <w:proofErr w:type="spellEnd"/>
      <w:r w:rsidRPr="000D5696">
        <w:rPr>
          <w:rFonts w:cs="Times New Roman"/>
          <w:szCs w:val="24"/>
        </w:rPr>
        <w:t>, 1966) used it in his study of the mentally ill. He described the patient’s psychiatric symptoms as behavior contrary to culturally recognized social norms. As for Goffman, who became a major theoretician in sociology in general, his work in research in medical sociology began by closely following the conditions of patients in the mental hospital. On the social status of people detained by institutions that exert heavy pressure on them, he also invented the idea of a theatrical perspective in sociology that depicts (life as a theater and people are represented on stage) and this perspective has been used in the field of medical sociology. Goffman distinguished himself by using the concept of stigma (Goffman, Stigma 1963), which in the context of psychiatry means stigma attached to people who are usually mentally ill or to people who are abnormal in their behavior in general. People who are stigmatized do not have full social acceptance, and they always strive to adapt their social identities to the general social milieu. Goffman identifies three types of stigma: behavioral, physical, and group stigma. The first represents deviations in personality traits such as mental disorders or drug and alcohol addiction. The second type includes external deformities of the body, leprosy, obesity or pathological thinness. As for the third type, it afflicts a person because of his belonging to a racist group, religion, or a certain people, as it is attached to foreigners according to tribal customs and traditions.</w:t>
      </w:r>
    </w:p>
    <w:p w14:paraId="339E646D" w14:textId="3F4CBA9D" w:rsidR="00C33C80" w:rsidRPr="000D5696" w:rsidRDefault="00C33C80" w:rsidP="00606546">
      <w:pPr>
        <w:rPr>
          <w:rFonts w:cs="Times New Roman"/>
          <w:szCs w:val="24"/>
        </w:rPr>
      </w:pPr>
      <w:r w:rsidRPr="000D5696">
        <w:rPr>
          <w:rFonts w:cs="Times New Roman"/>
          <w:szCs w:val="24"/>
        </w:rPr>
        <w:t xml:space="preserve">Goffman's influence can be seen in medical sociology in the search for medical confrontation, a situation in which two or more people meet face to face (Goffman, 1963). He emphasized that this should be a major field of social research. " He also stressed that sociology should focus on </w:t>
      </w:r>
      <w:r w:rsidRPr="000D5696">
        <w:rPr>
          <w:rFonts w:cs="Times New Roman"/>
          <w:szCs w:val="24"/>
        </w:rPr>
        <w:lastRenderedPageBreak/>
        <w:t xml:space="preserve">defining and understanding the rules and standards that govern any process of social interaction of any kind, including the process of interaction between doctors and patients, along with Strauss and Goffman, </w:t>
      </w:r>
      <w:proofErr w:type="spellStart"/>
      <w:r w:rsidRPr="000D5696">
        <w:rPr>
          <w:rFonts w:cs="Times New Roman"/>
          <w:szCs w:val="24"/>
        </w:rPr>
        <w:t>Freidson's</w:t>
      </w:r>
      <w:proofErr w:type="spellEnd"/>
      <w:r w:rsidRPr="000D5696">
        <w:rPr>
          <w:rFonts w:cs="Times New Roman"/>
          <w:szCs w:val="24"/>
        </w:rPr>
        <w:t xml:space="preserve"> books are the following: The medical profession (1970a) and occupational dominance (1970b)), medicine together (1975) are basic works in the field of medical sociology in which he deals with the analysis of the professional control of doctors, and the relationship of the doctor to the patient. In his last book, he emphasized the professional social control practiced by doctors on one another and how this control affects improving the quality of doctors ’professional performance.</w:t>
      </w:r>
      <w:r w:rsidR="00F51C85" w:rsidRPr="00F51C85">
        <w:rPr>
          <w:rFonts w:cs="Times New Roman"/>
          <w:color w:val="1B1B1B"/>
          <w:szCs w:val="24"/>
          <w:shd w:val="clear" w:color="auto" w:fill="FFFFFF"/>
        </w:rPr>
        <w:t xml:space="preserve"> </w:t>
      </w:r>
      <w:r w:rsidR="005150E7" w:rsidRPr="00F51C85">
        <w:rPr>
          <w:rFonts w:cs="Times New Roman"/>
          <w:color w:val="1B1B1B"/>
          <w:szCs w:val="24"/>
          <w:shd w:val="clear" w:color="auto" w:fill="FFFFFF"/>
        </w:rPr>
        <w:t>Stigmatization</w:t>
      </w:r>
      <w:r w:rsidR="00F51C85" w:rsidRPr="00F51C85">
        <w:rPr>
          <w:rFonts w:cs="Times New Roman"/>
          <w:color w:val="1B1B1B"/>
          <w:szCs w:val="24"/>
          <w:shd w:val="clear" w:color="auto" w:fill="FFFFFF"/>
        </w:rPr>
        <w:t xml:space="preserve"> prevents proper re-integration of the patients and may lead to relapse of the mental health condition following a worsening social condition of the patients. This is why medical sociologists often </w:t>
      </w:r>
      <w:r w:rsidR="005150E7" w:rsidRPr="00F51C85">
        <w:rPr>
          <w:rFonts w:cs="Times New Roman"/>
          <w:color w:val="1B1B1B"/>
          <w:szCs w:val="24"/>
          <w:shd w:val="clear" w:color="auto" w:fill="FFFFFF"/>
        </w:rPr>
        <w:t>prioritize</w:t>
      </w:r>
      <w:r w:rsidR="00F51C85" w:rsidRPr="00F51C85">
        <w:rPr>
          <w:rFonts w:cs="Times New Roman"/>
          <w:color w:val="1B1B1B"/>
          <w:szCs w:val="24"/>
          <w:shd w:val="clear" w:color="auto" w:fill="FFFFFF"/>
        </w:rPr>
        <w:t xml:space="preserve"> how to reduce social </w:t>
      </w:r>
      <w:r w:rsidR="005150E7" w:rsidRPr="00F51C85">
        <w:rPr>
          <w:rFonts w:cs="Times New Roman"/>
          <w:color w:val="1B1B1B"/>
          <w:szCs w:val="24"/>
          <w:shd w:val="clear" w:color="auto" w:fill="FFFFFF"/>
        </w:rPr>
        <w:t>stigmatization</w:t>
      </w:r>
      <w:r w:rsidR="00F51C85" w:rsidRPr="00F51C85">
        <w:rPr>
          <w:rFonts w:cs="Times New Roman"/>
          <w:color w:val="1B1B1B"/>
          <w:szCs w:val="24"/>
          <w:shd w:val="clear" w:color="auto" w:fill="FFFFFF"/>
        </w:rPr>
        <w:t xml:space="preserve"> among all categories of patients.</w:t>
      </w:r>
    </w:p>
    <w:p w14:paraId="52B8FEE9" w14:textId="505DF6EF" w:rsidR="00C33C80" w:rsidRPr="000D5696" w:rsidRDefault="00930A6B" w:rsidP="00606546">
      <w:pPr>
        <w:rPr>
          <w:rFonts w:cs="Times New Roman"/>
          <w:b/>
          <w:szCs w:val="24"/>
        </w:rPr>
      </w:pPr>
      <w:r w:rsidRPr="000D5696">
        <w:rPr>
          <w:rFonts w:cs="Times New Roman"/>
          <w:b/>
          <w:szCs w:val="24"/>
        </w:rPr>
        <w:t>The</w:t>
      </w:r>
      <w:r w:rsidR="00C33C80" w:rsidRPr="000D5696">
        <w:rPr>
          <w:rFonts w:cs="Times New Roman"/>
          <w:b/>
          <w:szCs w:val="24"/>
        </w:rPr>
        <w:t xml:space="preserve"> agrarian theory:</w:t>
      </w:r>
    </w:p>
    <w:p w14:paraId="58376F4B" w14:textId="5D85B70D" w:rsidR="00C33C80" w:rsidRPr="000D5696" w:rsidRDefault="00C33C80" w:rsidP="00606546">
      <w:pPr>
        <w:rPr>
          <w:rFonts w:cs="Times New Roman"/>
          <w:szCs w:val="24"/>
        </w:rPr>
      </w:pPr>
      <w:r w:rsidRPr="000D5696">
        <w:rPr>
          <w:rFonts w:cs="Times New Roman"/>
          <w:szCs w:val="24"/>
        </w:rPr>
        <w:t xml:space="preserve">Conflict theory counts on the postulation that society is made up of competing groups for the sake of obtaining resources, power and prestige, that access to resources is inherently unequal, and that those with power seek to preserve their privileges. Thus, conflict theorists expect that social change will occur through revolution rather than Gradual social change. Karl Marx is considered the founder of conflict thought, and although he did not write explicitly about health and disease, his ideas influenced contemporary research on the political economy of health. The early writings of Frederick Engels on the deteriorating health conditions of the working class in England during the nineteenth century, and his joint work with Karl Merx, represent a critique of health and medicine during this period, representing one of the true social theories of illness and disease (1971 Engels.) At present, the World Health Organization has developed a health perspective in which it defines the role of social factors in health and disease (who 2009). In applying this approach to medical </w:t>
      </w:r>
      <w:r w:rsidRPr="000D5696">
        <w:rPr>
          <w:rFonts w:cs="Times New Roman"/>
          <w:szCs w:val="24"/>
        </w:rPr>
        <w:lastRenderedPageBreak/>
        <w:t>sociology, it leads us to the so-called "social determinants of health", whereby the health conditions of the population are viewed as being influenced by a combination of social, economic, psychological, environmental and cultural factors.</w:t>
      </w:r>
    </w:p>
    <w:p w14:paraId="5932BC67" w14:textId="77777777" w:rsidR="00C33C80" w:rsidRPr="000D5696" w:rsidRDefault="00C33C80" w:rsidP="00606546">
      <w:pPr>
        <w:rPr>
          <w:rFonts w:cs="Times New Roman"/>
          <w:b/>
          <w:szCs w:val="24"/>
        </w:rPr>
      </w:pPr>
      <w:r w:rsidRPr="000D5696">
        <w:rPr>
          <w:rFonts w:cs="Times New Roman"/>
          <w:b/>
          <w:szCs w:val="24"/>
        </w:rPr>
        <w:t xml:space="preserve">Feminist theory of health: </w:t>
      </w:r>
    </w:p>
    <w:p w14:paraId="1ACD0EEE" w14:textId="0A729B68" w:rsidR="00C33C80" w:rsidRPr="000D5696" w:rsidRDefault="00C33C80" w:rsidP="00606546">
      <w:pPr>
        <w:rPr>
          <w:rFonts w:cs="Times New Roman"/>
          <w:szCs w:val="24"/>
        </w:rPr>
      </w:pPr>
      <w:r w:rsidRPr="000D5696">
        <w:rPr>
          <w:rFonts w:cs="Times New Roman"/>
          <w:szCs w:val="24"/>
        </w:rPr>
        <w:t>Feminist theory is a different group of feminist social ideas and movements related to equality between the sexes politically, economically, socially, culturally, health and in all other aspects. In traditional societies, women are subordinate to men in terms of social, economic and cultural status, they are excluded from decision-making, and they have limited access to and control over resources, in addition to their limited mobility, and are often subject to threats and violence by males. Despite the progress achieved, societies all over the world, especially developing and backward societies, are still falling far short of the right of women in the basic stages of their lives, especially in adolescence and adulthood (WHO 2017)</w:t>
      </w:r>
    </w:p>
    <w:p w14:paraId="0BD4D40F" w14:textId="77777777" w:rsidR="00C33C80" w:rsidRPr="000D5696" w:rsidRDefault="00C33C80" w:rsidP="00606546">
      <w:pPr>
        <w:rPr>
          <w:rFonts w:cs="Times New Roman"/>
          <w:szCs w:val="24"/>
        </w:rPr>
      </w:pPr>
    </w:p>
    <w:p w14:paraId="370CB816" w14:textId="77777777" w:rsidR="00930A6B" w:rsidRPr="000D5696" w:rsidRDefault="00930A6B">
      <w:pPr>
        <w:jc w:val="left"/>
        <w:rPr>
          <w:rFonts w:cs="Times New Roman"/>
          <w:b/>
          <w:szCs w:val="24"/>
        </w:rPr>
      </w:pPr>
      <w:r w:rsidRPr="000D5696">
        <w:rPr>
          <w:rFonts w:cs="Times New Roman"/>
          <w:b/>
          <w:szCs w:val="24"/>
        </w:rPr>
        <w:br w:type="page"/>
      </w:r>
    </w:p>
    <w:p w14:paraId="5A6DE4E2" w14:textId="3FD705F7" w:rsidR="00C33C80" w:rsidRPr="000D5696" w:rsidRDefault="00C33C80" w:rsidP="00606546">
      <w:pPr>
        <w:rPr>
          <w:rFonts w:cs="Times New Roman"/>
          <w:b/>
          <w:szCs w:val="24"/>
        </w:rPr>
      </w:pPr>
      <w:r w:rsidRPr="000D5696">
        <w:rPr>
          <w:rFonts w:cs="Times New Roman"/>
          <w:b/>
          <w:szCs w:val="24"/>
        </w:rPr>
        <w:lastRenderedPageBreak/>
        <w:t>Post-structuralism theory</w:t>
      </w:r>
    </w:p>
    <w:p w14:paraId="69C08C0B" w14:textId="1B66F5DD" w:rsidR="00C33C80" w:rsidRPr="000D5696" w:rsidRDefault="00C33C80" w:rsidP="00606546">
      <w:pPr>
        <w:rPr>
          <w:rFonts w:cs="Times New Roman"/>
          <w:szCs w:val="24"/>
        </w:rPr>
      </w:pPr>
      <w:r w:rsidRPr="000D5696">
        <w:rPr>
          <w:rFonts w:cs="Times New Roman"/>
          <w:szCs w:val="24"/>
        </w:rPr>
        <w:t xml:space="preserve"> The French philosopher, Michel Foucault Michel, has a major role in the development of medical sociology, and his interest has concentrated on studying the connection among knowledge, power, and the imbalance of power it entails. In his famous book The Birth of Clinical Medicine (1994, 1973) Foucault distinguished two trends in his investigation of medical practice: human medicine and the medicine of social spaces. (1973 and 1994). The first classifies diagnoses and treats disease states, and the second seeks to prevent the occurrence of diseases. Human medicine considered the human body to be a subject for medical study and intervention, while social space medicine used public health as a means of control and regulation by the civil and medical authorities, and so the bodies themselves became the scope of expert authority for the benefit of society (Armstrong 1987, Turner, 1952)). Foucault's assay of the body led to the emergence of a new discipline, the sociology of the body, which coincided with the emergence of Turner’s book entitled body and society (Turner, 1996).</w:t>
      </w:r>
    </w:p>
    <w:p w14:paraId="57F2D96E" w14:textId="34DBA26E" w:rsidR="00C33C80" w:rsidRPr="000D5696" w:rsidRDefault="00C33C80" w:rsidP="00606546">
      <w:pPr>
        <w:rPr>
          <w:rFonts w:cs="Times New Roman"/>
          <w:szCs w:val="24"/>
        </w:rPr>
      </w:pPr>
      <w:r w:rsidRPr="000D5696">
        <w:rPr>
          <w:rFonts w:cs="Times New Roman"/>
          <w:szCs w:val="24"/>
        </w:rPr>
        <w:t xml:space="preserve">Another area of research is the social formation of bodies, ailments, and emotions. In medical sociology, the socio-structural approach is the closest to Foucault's analysis of the body as a result of power and knowledge. It is the investigation of the way in which people shape their appearances, from decorating, displaying and managing their bodies and assessing them socially. It is reported that social class has a great influence on how people behave and take care of their bodies. The other scientist who contributed to the development of medical sociology is Pierre Bourdieu. Among his many works, the Book of Discrimination (Bourdieu 1984) is the closest to medical sociology, in which he deals with the explanation of the different patterns of cultural practices between French social classes and their impact on health. He relates social practices to culture, social organization and power (Swartz, 1997). His analysis includes food habits and physical </w:t>
      </w:r>
      <w:r w:rsidRPr="000D5696">
        <w:rPr>
          <w:rFonts w:cs="Times New Roman"/>
          <w:szCs w:val="24"/>
        </w:rPr>
        <w:lastRenderedPageBreak/>
        <w:t>exercise that reveal the influence of class attributes on the various aspects of healthy life (Cockerham, 1999).</w:t>
      </w:r>
    </w:p>
    <w:p w14:paraId="68F326F5" w14:textId="23E9A74C" w:rsidR="00C33C80" w:rsidRPr="000D5696" w:rsidRDefault="00C33C80" w:rsidP="00606546">
      <w:pPr>
        <w:rPr>
          <w:rFonts w:cs="Times New Roman"/>
          <w:szCs w:val="24"/>
        </w:rPr>
      </w:pPr>
      <w:r w:rsidRPr="000D5696">
        <w:rPr>
          <w:rFonts w:cs="Times New Roman"/>
          <w:szCs w:val="24"/>
        </w:rPr>
        <w:t>Bourdieu explains how negative healthy parenting patterns were the primary social determinants of the decline in life expectancy in every saying about this condition, and the case is for middle-aged men belonging to the working class. These men's living conditions and poor social status bred negative traits that drove them to engage in unhealthy behaviours such as a lack of interest in eating, alcohol abuse, smoking, and lack of physical activity. All of these variables have combined to create a lifestyle that is favourable to heart disease, with high death rates as a result, and thus, shortening the life expectancy in these countries. These behavioral patterns that endangered people's lives are criteria developed via the group's social interaction, and decided by the options accessible to them, which resulted in poor living circumstances and early deaths (Bourdieu, 1984)</w:t>
      </w:r>
    </w:p>
    <w:p w14:paraId="55C3E05B" w14:textId="51A0C825" w:rsidR="00C33C80" w:rsidRPr="000D5696" w:rsidRDefault="00C33C80" w:rsidP="00606546">
      <w:pPr>
        <w:rPr>
          <w:rFonts w:cs="Times New Roman"/>
          <w:szCs w:val="24"/>
        </w:rPr>
      </w:pPr>
      <w:r w:rsidRPr="000D5696">
        <w:rPr>
          <w:rFonts w:cs="Times New Roman"/>
          <w:szCs w:val="24"/>
        </w:rPr>
        <w:t xml:space="preserve">Capital influences and stresses Bourdieu on the significance of social capital in affecting people's health via social cohesiveness and creating confidence in their souls and their desire to serve members of the same group Through the exchange of benefits, help, and the provision of medical services and social care to people in need, social capital has a variety of effects on health. It also has an impact on aspects that are linked to health concerns, such as quitting smoking, avoiding alcohol or addiction, and boosting participation in sports. It also has an influence on other social factors including education and employment, as well as lowering the effects of certain situations that cause psychological and social stress. Another key way through which social capital influences health is main group members' capacity and competence to conduct cooperative actions that promote health, </w:t>
      </w:r>
      <w:proofErr w:type="spellStart"/>
      <w:r w:rsidRPr="000D5696">
        <w:rPr>
          <w:rFonts w:cs="Times New Roman"/>
          <w:szCs w:val="24"/>
        </w:rPr>
        <w:t>instil</w:t>
      </w:r>
      <w:proofErr w:type="spellEnd"/>
      <w:r w:rsidRPr="000D5696">
        <w:rPr>
          <w:rFonts w:cs="Times New Roman"/>
          <w:szCs w:val="24"/>
        </w:rPr>
        <w:t xml:space="preserve"> good social standards, and prohibit health-damaging behaviour. Finally, social capital influences health through knowledge that is good to health, the promotion of healthy culture, self-hygiene, and the building of security for the local and communal environment </w:t>
      </w:r>
      <w:r w:rsidRPr="000D5696">
        <w:rPr>
          <w:rFonts w:cs="Times New Roman"/>
          <w:szCs w:val="24"/>
        </w:rPr>
        <w:lastRenderedPageBreak/>
        <w:t>(</w:t>
      </w:r>
      <w:proofErr w:type="spellStart"/>
      <w:r w:rsidRPr="000D5696">
        <w:rPr>
          <w:rFonts w:cs="Times New Roman"/>
          <w:szCs w:val="24"/>
        </w:rPr>
        <w:t>Bourdieue</w:t>
      </w:r>
      <w:proofErr w:type="spellEnd"/>
      <w:r w:rsidRPr="000D5696">
        <w:rPr>
          <w:rFonts w:cs="Times New Roman"/>
          <w:szCs w:val="24"/>
        </w:rPr>
        <w:t>, 1964). The impact of social capital on individual and group health has been documented in several research, the most recent of which was conducted by the World Health Organization (Who, 2010). In the three primary areas of applied study, Anthony Giddens establishes the theoretical foundation for the sociology of health and morbidity: drug use advice, food choices, eating patterns, and long-term sickness. Gabe j. And Almeida j. Eds. (2015)</w:t>
      </w:r>
    </w:p>
    <w:p w14:paraId="24BB4387" w14:textId="3F1A4572" w:rsidR="00187B6B" w:rsidRPr="000D5696" w:rsidRDefault="00187B6B" w:rsidP="00606546">
      <w:pPr>
        <w:rPr>
          <w:rFonts w:eastAsia="Calibri" w:cs="Times New Roman"/>
          <w:b/>
          <w:color w:val="000000"/>
          <w:szCs w:val="24"/>
        </w:rPr>
      </w:pPr>
      <w:r w:rsidRPr="000D5696">
        <w:rPr>
          <w:rFonts w:eastAsia="Calibri" w:cs="Times New Roman"/>
          <w:b/>
          <w:color w:val="000000"/>
          <w:szCs w:val="24"/>
        </w:rPr>
        <w:t>The sick role theory</w:t>
      </w:r>
    </w:p>
    <w:p w14:paraId="35B73FD2" w14:textId="77777777" w:rsidR="0084122D" w:rsidRPr="000D5696" w:rsidRDefault="00187B6B" w:rsidP="00CE5BDB">
      <w:pPr>
        <w:rPr>
          <w:rFonts w:cs="Times New Roman"/>
          <w:szCs w:val="24"/>
          <w:lang w:eastAsia="en-US"/>
        </w:rPr>
      </w:pPr>
      <w:r w:rsidRPr="000D5696">
        <w:rPr>
          <w:rFonts w:cs="Times New Roman"/>
          <w:szCs w:val="24"/>
        </w:rPr>
        <w:t>American sociologist </w:t>
      </w:r>
      <w:r w:rsidRPr="000D5696">
        <w:rPr>
          <w:rFonts w:cs="Times New Roman"/>
          <w:b/>
          <w:bCs/>
          <w:szCs w:val="24"/>
        </w:rPr>
        <w:t>Talcott Parsons</w:t>
      </w:r>
      <w:r w:rsidRPr="000D5696">
        <w:rPr>
          <w:rFonts w:cs="Times New Roman"/>
          <w:szCs w:val="24"/>
        </w:rPr>
        <w:t xml:space="preserve"> developed the sick role definition in 1951. </w:t>
      </w:r>
      <w:r w:rsidR="0084122D" w:rsidRPr="000D5696">
        <w:rPr>
          <w:rFonts w:cs="Times New Roman"/>
          <w:b/>
          <w:bCs/>
          <w:szCs w:val="24"/>
          <w:lang w:eastAsia="en-US"/>
        </w:rPr>
        <w:t>Sick role theory</w:t>
      </w:r>
      <w:r w:rsidR="0084122D" w:rsidRPr="000D5696">
        <w:rPr>
          <w:rFonts w:cs="Times New Roman"/>
          <w:szCs w:val="24"/>
          <w:lang w:eastAsia="en-US"/>
        </w:rPr>
        <w:t> is a concept in medical sociology that states that someone suffering from sickness has their own set of rights and responsibilities. The sick role sociology dictates that those who are sick have privileges as well as obligations associated with their illness. The idea behind sick role theory is based on the belief that an illness challenges a person's immune system making the patient less capable of meeting the demands of normal society.</w:t>
      </w:r>
    </w:p>
    <w:p w14:paraId="0422D707" w14:textId="77777777" w:rsidR="0084122D" w:rsidRPr="000D5696" w:rsidRDefault="00187B6B" w:rsidP="00CE5BDB">
      <w:pPr>
        <w:rPr>
          <w:rFonts w:cs="Times New Roman"/>
          <w:szCs w:val="24"/>
        </w:rPr>
      </w:pPr>
      <w:r w:rsidRPr="000D5696">
        <w:rPr>
          <w:rFonts w:cs="Times New Roman"/>
          <w:szCs w:val="24"/>
        </w:rPr>
        <w:t>A medical provider plays an essential role in the sick role theory because they must legitimatize the illness. The patient becomes a </w:t>
      </w:r>
      <w:r w:rsidRPr="000D5696">
        <w:rPr>
          <w:rFonts w:cs="Times New Roman"/>
          <w:b/>
          <w:bCs/>
          <w:szCs w:val="24"/>
        </w:rPr>
        <w:t>sanctioned deviant</w:t>
      </w:r>
      <w:r w:rsidRPr="000D5696">
        <w:rPr>
          <w:rFonts w:cs="Times New Roman"/>
          <w:szCs w:val="24"/>
        </w:rPr>
        <w:t> because a medical provider vouches for the patient's illness. The patient is then excused from their normal duties as a student or employee for the duration of their disease process. </w:t>
      </w:r>
      <w:r w:rsidRPr="000D5696">
        <w:rPr>
          <w:rFonts w:cs="Times New Roman"/>
          <w:b/>
          <w:bCs/>
          <w:szCs w:val="24"/>
        </w:rPr>
        <w:t>Legitimatization</w:t>
      </w:r>
      <w:r w:rsidRPr="000D5696">
        <w:rPr>
          <w:rFonts w:cs="Times New Roman"/>
          <w:szCs w:val="24"/>
        </w:rPr>
        <w:t> is when a doctor verifies the presence of illness. In modern medical practice, when a doctor writes a note to excuse the patient from work or school, this legitimizes their illness.</w:t>
      </w:r>
    </w:p>
    <w:p w14:paraId="7945E1F6" w14:textId="479FE44F" w:rsidR="00187B6B" w:rsidRPr="000D5696" w:rsidRDefault="00187B6B" w:rsidP="0084122D">
      <w:pPr>
        <w:rPr>
          <w:rFonts w:cs="Times New Roman"/>
          <w:b/>
          <w:szCs w:val="24"/>
        </w:rPr>
      </w:pPr>
      <w:r w:rsidRPr="000D5696">
        <w:rPr>
          <w:rFonts w:cs="Times New Roman"/>
          <w:b/>
          <w:szCs w:val="24"/>
        </w:rPr>
        <w:t>Sick Role Rights</w:t>
      </w:r>
    </w:p>
    <w:p w14:paraId="08FA8226" w14:textId="77777777" w:rsidR="00187B6B" w:rsidRPr="000D5696" w:rsidRDefault="00187B6B" w:rsidP="00CE5BDB">
      <w:pPr>
        <w:rPr>
          <w:rFonts w:cs="Times New Roman"/>
          <w:szCs w:val="24"/>
        </w:rPr>
      </w:pPr>
      <w:r w:rsidRPr="000D5696">
        <w:rPr>
          <w:rFonts w:cs="Times New Roman"/>
          <w:szCs w:val="24"/>
        </w:rPr>
        <w:t>According to the sick role theory, a patient has </w:t>
      </w:r>
      <w:r w:rsidRPr="000D5696">
        <w:rPr>
          <w:rFonts w:cs="Times New Roman"/>
          <w:b/>
          <w:bCs/>
          <w:szCs w:val="24"/>
        </w:rPr>
        <w:t>rights</w:t>
      </w:r>
      <w:r w:rsidRPr="000D5696">
        <w:rPr>
          <w:rFonts w:cs="Times New Roman"/>
          <w:szCs w:val="24"/>
        </w:rPr>
        <w:t> and responsibilities afforded to them. These include:</w:t>
      </w:r>
    </w:p>
    <w:p w14:paraId="0D5F8EF3" w14:textId="77777777" w:rsidR="00187B6B" w:rsidRPr="000D5696" w:rsidRDefault="00187B6B" w:rsidP="00187B6B">
      <w:pPr>
        <w:numPr>
          <w:ilvl w:val="0"/>
          <w:numId w:val="2"/>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lastRenderedPageBreak/>
        <w:t>The right to be taken care of by another person</w:t>
      </w:r>
    </w:p>
    <w:p w14:paraId="25FBBB06" w14:textId="77777777" w:rsidR="00187B6B" w:rsidRPr="000D5696" w:rsidRDefault="00187B6B" w:rsidP="00187B6B">
      <w:pPr>
        <w:numPr>
          <w:ilvl w:val="0"/>
          <w:numId w:val="2"/>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t>The right to be excused from usual societal duties and obligations</w:t>
      </w:r>
    </w:p>
    <w:p w14:paraId="4542983E" w14:textId="77777777" w:rsidR="00187B6B" w:rsidRPr="000D5696" w:rsidRDefault="00187B6B" w:rsidP="00187B6B">
      <w:pPr>
        <w:numPr>
          <w:ilvl w:val="0"/>
          <w:numId w:val="2"/>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t>The right to avoid blame for being sick or ill</w:t>
      </w:r>
    </w:p>
    <w:p w14:paraId="26D74BCE" w14:textId="77777777" w:rsidR="00187B6B" w:rsidRPr="000D5696" w:rsidRDefault="00187B6B" w:rsidP="00187B6B">
      <w:pPr>
        <w:numPr>
          <w:ilvl w:val="0"/>
          <w:numId w:val="2"/>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t>The right to seek a medical provider and obtain appropriate treatment</w:t>
      </w:r>
    </w:p>
    <w:p w14:paraId="2C83EA0A" w14:textId="77777777" w:rsidR="00187B6B" w:rsidRPr="000D5696" w:rsidRDefault="00187B6B" w:rsidP="00EB0DCA">
      <w:pPr>
        <w:spacing w:line="240" w:lineRule="auto"/>
        <w:rPr>
          <w:rFonts w:cs="Times New Roman"/>
          <w:b/>
          <w:szCs w:val="24"/>
        </w:rPr>
      </w:pPr>
      <w:r w:rsidRPr="000D5696">
        <w:rPr>
          <w:rFonts w:cs="Times New Roman"/>
          <w:b/>
          <w:szCs w:val="24"/>
        </w:rPr>
        <w:t>Sick Role Obligations</w:t>
      </w:r>
    </w:p>
    <w:p w14:paraId="5BB6510E" w14:textId="77777777" w:rsidR="00187B6B" w:rsidRPr="000D5696" w:rsidRDefault="00187B6B" w:rsidP="00EB0DCA">
      <w:pPr>
        <w:pStyle w:val="NormalWeb"/>
        <w:shd w:val="clear" w:color="auto" w:fill="FFFFFF"/>
        <w:spacing w:before="0" w:beforeAutospacing="0" w:after="150" w:afterAutospacing="0"/>
        <w:rPr>
          <w:color w:val="555555"/>
        </w:rPr>
      </w:pPr>
      <w:r w:rsidRPr="000D5696">
        <w:rPr>
          <w:color w:val="555555"/>
        </w:rPr>
        <w:t>The sick role does obligate patients to also follow a certain set of parameters. </w:t>
      </w:r>
      <w:r w:rsidRPr="000D5696">
        <w:rPr>
          <w:b/>
          <w:bCs/>
          <w:color w:val="555555"/>
        </w:rPr>
        <w:t>Obligations</w:t>
      </w:r>
      <w:r w:rsidRPr="000D5696">
        <w:rPr>
          <w:color w:val="555555"/>
        </w:rPr>
        <w:t> include:</w:t>
      </w:r>
    </w:p>
    <w:p w14:paraId="7C50749A" w14:textId="77777777" w:rsidR="00187B6B" w:rsidRPr="000D5696" w:rsidRDefault="00187B6B" w:rsidP="00EB0DCA">
      <w:pPr>
        <w:numPr>
          <w:ilvl w:val="0"/>
          <w:numId w:val="3"/>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t>Patients must be truthful about their sickness or illness</w:t>
      </w:r>
    </w:p>
    <w:p w14:paraId="35963514" w14:textId="77777777" w:rsidR="00187B6B" w:rsidRPr="000D5696" w:rsidRDefault="00187B6B" w:rsidP="00EB0DCA">
      <w:pPr>
        <w:numPr>
          <w:ilvl w:val="0"/>
          <w:numId w:val="3"/>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t>Patients are responsible for obtaining medical treatment and following the given medical advice</w:t>
      </w:r>
    </w:p>
    <w:p w14:paraId="5E7F00ED" w14:textId="77777777" w:rsidR="00187B6B" w:rsidRPr="000D5696" w:rsidRDefault="00187B6B" w:rsidP="00EB0DCA">
      <w:pPr>
        <w:numPr>
          <w:ilvl w:val="0"/>
          <w:numId w:val="3"/>
        </w:numPr>
        <w:shd w:val="clear" w:color="auto" w:fill="FFFFFF"/>
        <w:spacing w:before="100" w:beforeAutospacing="1" w:after="100" w:afterAutospacing="1" w:line="240" w:lineRule="auto"/>
        <w:rPr>
          <w:rFonts w:cs="Times New Roman"/>
          <w:color w:val="555555"/>
          <w:szCs w:val="24"/>
        </w:rPr>
      </w:pPr>
      <w:r w:rsidRPr="000D5696">
        <w:rPr>
          <w:rFonts w:cs="Times New Roman"/>
          <w:color w:val="555555"/>
          <w:szCs w:val="24"/>
        </w:rPr>
        <w:t>Patients should do only those activities that are compatible with their severity of illness</w:t>
      </w:r>
    </w:p>
    <w:p w14:paraId="43EAD27D" w14:textId="77777777" w:rsidR="00187B6B" w:rsidRPr="000D5696" w:rsidRDefault="00187B6B" w:rsidP="00EB0DCA">
      <w:pPr>
        <w:pStyle w:val="NormalWeb"/>
        <w:shd w:val="clear" w:color="auto" w:fill="FFFFFF"/>
        <w:spacing w:before="0" w:beforeAutospacing="0" w:after="150" w:afterAutospacing="0"/>
        <w:rPr>
          <w:color w:val="555555"/>
        </w:rPr>
      </w:pPr>
    </w:p>
    <w:p w14:paraId="4FB33498" w14:textId="77777777" w:rsidR="00C1763A" w:rsidRPr="000D5696" w:rsidRDefault="00C1763A" w:rsidP="00EB0DCA">
      <w:pPr>
        <w:spacing w:line="240" w:lineRule="auto"/>
        <w:rPr>
          <w:rFonts w:cs="Times New Roman"/>
          <w:b/>
          <w:szCs w:val="24"/>
        </w:rPr>
      </w:pPr>
      <w:r w:rsidRPr="000D5696">
        <w:rPr>
          <w:rFonts w:cs="Times New Roman"/>
          <w:b/>
          <w:szCs w:val="24"/>
        </w:rPr>
        <w:t>The Rights and Obligations of the Doctor’s Role</w:t>
      </w:r>
    </w:p>
    <w:p w14:paraId="28F59A44" w14:textId="77777777" w:rsidR="00C1763A" w:rsidRPr="000D5696" w:rsidRDefault="00C1763A" w:rsidP="00EB0DCA">
      <w:pPr>
        <w:spacing w:line="240" w:lineRule="auto"/>
        <w:rPr>
          <w:rFonts w:cs="Times New Roman"/>
          <w:szCs w:val="24"/>
        </w:rPr>
      </w:pPr>
      <w:r w:rsidRPr="000D5696">
        <w:rPr>
          <w:rFonts w:cs="Times New Roman"/>
          <w:szCs w:val="24"/>
        </w:rPr>
        <w:t>Rights:</w:t>
      </w:r>
    </w:p>
    <w:p w14:paraId="712BDD85" w14:textId="77777777" w:rsidR="00C1763A" w:rsidRPr="000D5696" w:rsidRDefault="00C1763A" w:rsidP="00EB0DCA">
      <w:pPr>
        <w:spacing w:line="240" w:lineRule="auto"/>
        <w:rPr>
          <w:rFonts w:cs="Times New Roman"/>
          <w:szCs w:val="24"/>
        </w:rPr>
      </w:pPr>
      <w:r w:rsidRPr="000D5696">
        <w:rPr>
          <w:rFonts w:cs="Times New Roman"/>
          <w:szCs w:val="24"/>
        </w:rPr>
        <w:t>1. Status and reward due to the functional importance of their role and to encourage</w:t>
      </w:r>
    </w:p>
    <w:p w14:paraId="3ADE27B6" w14:textId="77777777" w:rsidR="00C1763A" w:rsidRPr="000D5696" w:rsidRDefault="00C1763A" w:rsidP="00EB0DCA">
      <w:pPr>
        <w:spacing w:line="240" w:lineRule="auto"/>
        <w:rPr>
          <w:rFonts w:cs="Times New Roman"/>
          <w:szCs w:val="24"/>
        </w:rPr>
      </w:pPr>
      <w:r w:rsidRPr="000D5696">
        <w:rPr>
          <w:rFonts w:cs="Times New Roman"/>
          <w:szCs w:val="24"/>
        </w:rPr>
        <w:t>individuals to go through long years of training.</w:t>
      </w:r>
    </w:p>
    <w:p w14:paraId="77A63646" w14:textId="77777777" w:rsidR="00C1763A" w:rsidRPr="000D5696" w:rsidRDefault="00C1763A" w:rsidP="00EB0DCA">
      <w:pPr>
        <w:spacing w:line="240" w:lineRule="auto"/>
        <w:rPr>
          <w:rFonts w:cs="Times New Roman"/>
          <w:szCs w:val="24"/>
        </w:rPr>
      </w:pPr>
      <w:r w:rsidRPr="000D5696">
        <w:rPr>
          <w:rFonts w:cs="Times New Roman"/>
          <w:szCs w:val="24"/>
        </w:rPr>
        <w:t xml:space="preserve">2. Considerable autonomy (personal control and power over one’s own actions) in </w:t>
      </w:r>
      <w:proofErr w:type="gramStart"/>
      <w:r w:rsidRPr="000D5696">
        <w:rPr>
          <w:rFonts w:cs="Times New Roman"/>
          <w:szCs w:val="24"/>
        </w:rPr>
        <w:t>their</w:t>
      </w:r>
      <w:proofErr w:type="gramEnd"/>
    </w:p>
    <w:p w14:paraId="3E7D0E5F" w14:textId="77777777" w:rsidR="00C1763A" w:rsidRPr="000D5696" w:rsidRDefault="00C1763A" w:rsidP="00EB0DCA">
      <w:pPr>
        <w:spacing w:line="240" w:lineRule="auto"/>
        <w:rPr>
          <w:rFonts w:cs="Times New Roman"/>
          <w:szCs w:val="24"/>
        </w:rPr>
      </w:pPr>
      <w:r w:rsidRPr="000D5696">
        <w:rPr>
          <w:rFonts w:cs="Times New Roman"/>
          <w:szCs w:val="24"/>
        </w:rPr>
        <w:t>professional practice.</w:t>
      </w:r>
    </w:p>
    <w:p w14:paraId="5E9D1E90" w14:textId="77777777" w:rsidR="00C1763A" w:rsidRPr="000D5696" w:rsidRDefault="00C1763A" w:rsidP="00EB0DCA">
      <w:pPr>
        <w:spacing w:line="240" w:lineRule="auto"/>
        <w:rPr>
          <w:rFonts w:cs="Times New Roman"/>
          <w:szCs w:val="24"/>
        </w:rPr>
      </w:pPr>
      <w:r w:rsidRPr="000D5696">
        <w:rPr>
          <w:rFonts w:cs="Times New Roman"/>
          <w:szCs w:val="24"/>
        </w:rPr>
        <w:t>3. A position of authority in relation to the patient (as they are the trained expert and the</w:t>
      </w:r>
    </w:p>
    <w:p w14:paraId="4CAA622A" w14:textId="77777777" w:rsidR="00C1763A" w:rsidRPr="000D5696" w:rsidRDefault="00C1763A" w:rsidP="00EB0DCA">
      <w:pPr>
        <w:spacing w:line="240" w:lineRule="auto"/>
        <w:rPr>
          <w:rFonts w:cs="Times New Roman"/>
          <w:szCs w:val="24"/>
        </w:rPr>
      </w:pPr>
      <w:r w:rsidRPr="000D5696">
        <w:rPr>
          <w:rFonts w:cs="Times New Roman"/>
          <w:szCs w:val="24"/>
        </w:rPr>
        <w:t>‘gatekeeper’ to the social role of being sick).</w:t>
      </w:r>
    </w:p>
    <w:p w14:paraId="3F84B5A8" w14:textId="77777777" w:rsidR="00C1763A" w:rsidRPr="000D5696" w:rsidRDefault="00C1763A" w:rsidP="00EB0DCA">
      <w:pPr>
        <w:spacing w:line="240" w:lineRule="auto"/>
        <w:rPr>
          <w:rFonts w:cs="Times New Roman"/>
          <w:szCs w:val="24"/>
        </w:rPr>
      </w:pPr>
      <w:r w:rsidRPr="000D5696">
        <w:rPr>
          <w:rFonts w:cs="Times New Roman"/>
          <w:szCs w:val="24"/>
        </w:rPr>
        <w:t>4. The right to examine the patient physically and to enquire into intimate areas of the</w:t>
      </w:r>
    </w:p>
    <w:p w14:paraId="6139C40C" w14:textId="77777777" w:rsidR="00C1763A" w:rsidRPr="000D5696" w:rsidRDefault="00C1763A" w:rsidP="00EB0DCA">
      <w:pPr>
        <w:spacing w:line="240" w:lineRule="auto"/>
        <w:rPr>
          <w:rFonts w:cs="Times New Roman"/>
          <w:szCs w:val="24"/>
        </w:rPr>
      </w:pPr>
      <w:r w:rsidRPr="000D5696">
        <w:rPr>
          <w:rFonts w:cs="Times New Roman"/>
          <w:szCs w:val="24"/>
        </w:rPr>
        <w:t>patient’s physical and personal life.</w:t>
      </w:r>
    </w:p>
    <w:p w14:paraId="0022EE49" w14:textId="77777777" w:rsidR="00C1763A" w:rsidRPr="000D5696" w:rsidRDefault="00C1763A" w:rsidP="00EB0DCA">
      <w:pPr>
        <w:spacing w:line="240" w:lineRule="auto"/>
        <w:rPr>
          <w:rFonts w:cs="Times New Roman"/>
          <w:b/>
          <w:szCs w:val="24"/>
        </w:rPr>
      </w:pPr>
      <w:r w:rsidRPr="000D5696">
        <w:rPr>
          <w:rFonts w:cs="Times New Roman"/>
          <w:b/>
          <w:szCs w:val="24"/>
        </w:rPr>
        <w:t>Obligations:</w:t>
      </w:r>
    </w:p>
    <w:p w14:paraId="571C058A" w14:textId="77777777" w:rsidR="00C1763A" w:rsidRPr="000D5696" w:rsidRDefault="00C1763A" w:rsidP="00EB0DCA">
      <w:pPr>
        <w:spacing w:line="240" w:lineRule="auto"/>
        <w:rPr>
          <w:rFonts w:cs="Times New Roman"/>
          <w:szCs w:val="24"/>
        </w:rPr>
      </w:pPr>
      <w:r w:rsidRPr="000D5696">
        <w:rPr>
          <w:rFonts w:cs="Times New Roman"/>
          <w:szCs w:val="24"/>
        </w:rPr>
        <w:t>1. To be highly trained and bring a high degree of skill and knowledge to their work.</w:t>
      </w:r>
    </w:p>
    <w:p w14:paraId="690D609D" w14:textId="77777777" w:rsidR="00C1763A" w:rsidRPr="000D5696" w:rsidRDefault="00C1763A" w:rsidP="00EB0DCA">
      <w:pPr>
        <w:spacing w:line="240" w:lineRule="auto"/>
        <w:rPr>
          <w:rFonts w:cs="Times New Roman"/>
          <w:szCs w:val="24"/>
        </w:rPr>
      </w:pPr>
      <w:r w:rsidRPr="000D5696">
        <w:rPr>
          <w:rFonts w:cs="Times New Roman"/>
          <w:szCs w:val="24"/>
        </w:rPr>
        <w:t>2. To be motivated by concern for the patient and the community, rather than seeking</w:t>
      </w:r>
    </w:p>
    <w:p w14:paraId="41405B53" w14:textId="77777777" w:rsidR="00C1763A" w:rsidRPr="000D5696" w:rsidRDefault="00C1763A" w:rsidP="00EB0DCA">
      <w:pPr>
        <w:spacing w:line="240" w:lineRule="auto"/>
        <w:rPr>
          <w:rFonts w:cs="Times New Roman"/>
          <w:szCs w:val="24"/>
        </w:rPr>
      </w:pPr>
      <w:r w:rsidRPr="000D5696">
        <w:rPr>
          <w:rFonts w:cs="Times New Roman"/>
          <w:szCs w:val="24"/>
        </w:rPr>
        <w:t>professional gain.</w:t>
      </w:r>
    </w:p>
    <w:p w14:paraId="5CFC5565" w14:textId="77777777" w:rsidR="00C1763A" w:rsidRPr="000D5696" w:rsidRDefault="00C1763A" w:rsidP="00EB0DCA">
      <w:pPr>
        <w:spacing w:line="240" w:lineRule="auto"/>
        <w:rPr>
          <w:rFonts w:cs="Times New Roman"/>
          <w:szCs w:val="24"/>
        </w:rPr>
      </w:pPr>
      <w:r w:rsidRPr="000D5696">
        <w:rPr>
          <w:rFonts w:cs="Times New Roman"/>
          <w:szCs w:val="24"/>
        </w:rPr>
        <w:t>3. To be objective and emotionally detached.</w:t>
      </w:r>
    </w:p>
    <w:p w14:paraId="0B9393EB" w14:textId="5764E027" w:rsidR="00187B6B" w:rsidRPr="000D5696" w:rsidRDefault="00C1763A" w:rsidP="00EB0DCA">
      <w:pPr>
        <w:spacing w:line="240" w:lineRule="auto"/>
        <w:rPr>
          <w:rFonts w:cs="Times New Roman"/>
          <w:szCs w:val="24"/>
        </w:rPr>
      </w:pPr>
      <w:r w:rsidRPr="000D5696">
        <w:rPr>
          <w:rFonts w:cs="Times New Roman"/>
          <w:szCs w:val="24"/>
        </w:rPr>
        <w:t>4. To be bound by rules of professional conduct (e.g. ‘The Hippocratic Oath’).</w:t>
      </w:r>
    </w:p>
    <w:p w14:paraId="4B651A1B" w14:textId="77777777" w:rsidR="00C1763A" w:rsidRPr="000D5696" w:rsidRDefault="00C1763A" w:rsidP="00C1763A">
      <w:pPr>
        <w:rPr>
          <w:rFonts w:cs="Times New Roman"/>
          <w:b/>
          <w:szCs w:val="24"/>
        </w:rPr>
      </w:pPr>
      <w:r w:rsidRPr="000D5696">
        <w:rPr>
          <w:rFonts w:cs="Times New Roman"/>
          <w:b/>
          <w:szCs w:val="24"/>
        </w:rPr>
        <w:t>Marxist Criticisms</w:t>
      </w:r>
    </w:p>
    <w:p w14:paraId="4B142386" w14:textId="1801E7FE" w:rsidR="00C1763A" w:rsidRPr="000D5696" w:rsidRDefault="00C1763A" w:rsidP="00C1763A">
      <w:pPr>
        <w:rPr>
          <w:rFonts w:cs="Times New Roman"/>
          <w:szCs w:val="24"/>
        </w:rPr>
      </w:pPr>
      <w:r w:rsidRPr="000D5696">
        <w:rPr>
          <w:rFonts w:cs="Times New Roman"/>
          <w:szCs w:val="24"/>
        </w:rPr>
        <w:lastRenderedPageBreak/>
        <w:t>Some of the main critics of the biomedical model of health and Parsons’ theory of the sick role are those of a Marxist persuasion. Far from seeing the medical establishment as a vital and consensual set of institutions which are there to benefit everyone equally, the Marxists often argue that increasing ‘</w:t>
      </w:r>
      <w:proofErr w:type="spellStart"/>
      <w:r w:rsidRPr="000D5696">
        <w:rPr>
          <w:rFonts w:cs="Times New Roman"/>
          <w:szCs w:val="24"/>
        </w:rPr>
        <w:t>medicalisation</w:t>
      </w:r>
      <w:proofErr w:type="spellEnd"/>
      <w:r w:rsidRPr="000D5696">
        <w:rPr>
          <w:rFonts w:cs="Times New Roman"/>
          <w:szCs w:val="24"/>
        </w:rPr>
        <w:t>’ has had damaging effects and is driven by profit rather than the health of the population.</w:t>
      </w:r>
    </w:p>
    <w:p w14:paraId="773360B9" w14:textId="5049C8B4" w:rsidR="00C1763A" w:rsidRPr="000D5696" w:rsidRDefault="00C1763A" w:rsidP="00C1763A">
      <w:pPr>
        <w:rPr>
          <w:rFonts w:cs="Times New Roman"/>
          <w:szCs w:val="24"/>
        </w:rPr>
      </w:pPr>
      <w:r w:rsidRPr="000D5696">
        <w:rPr>
          <w:rFonts w:cs="Times New Roman"/>
          <w:szCs w:val="24"/>
        </w:rPr>
        <w:t xml:space="preserve">McKeown (1973) argued that the huge rises in life expectancy during the 20th century were not driven by medical advances, but by improved sanitation and hygiene. Vincent Navarro (1978) suggested that the medical establishment are profiteering from individual misfortune. </w:t>
      </w:r>
      <w:proofErr w:type="spellStart"/>
      <w:r w:rsidRPr="000D5696">
        <w:rPr>
          <w:rFonts w:cs="Times New Roman"/>
          <w:szCs w:val="24"/>
        </w:rPr>
        <w:t>Medicalising</w:t>
      </w:r>
      <w:proofErr w:type="spellEnd"/>
      <w:r w:rsidRPr="000D5696">
        <w:rPr>
          <w:rFonts w:cs="Times New Roman"/>
          <w:szCs w:val="24"/>
        </w:rPr>
        <w:t xml:space="preserve"> as much of human behaviour as possible in order to make profits for multi-national corporations.</w:t>
      </w:r>
    </w:p>
    <w:p w14:paraId="53F8178D" w14:textId="23D82BE4" w:rsidR="00C1763A" w:rsidRPr="000D5696" w:rsidRDefault="00C1763A" w:rsidP="00C1763A">
      <w:pPr>
        <w:rPr>
          <w:rFonts w:cs="Times New Roman"/>
          <w:szCs w:val="24"/>
        </w:rPr>
      </w:pPr>
      <w:r w:rsidRPr="000D5696">
        <w:rPr>
          <w:rFonts w:cs="Times New Roman"/>
          <w:szCs w:val="24"/>
        </w:rPr>
        <w:t>The most famous Marxian theory against the increasing power of the medical establishment was that of Ivan Illich (1975). Illich argued that going to seek medical advice and following it often leads to more serious problems than the patient suffered in the first place. Illich called this ‘Iatrogenesis’, meaning doctor-induced illness.</w:t>
      </w:r>
    </w:p>
    <w:p w14:paraId="5A84165F" w14:textId="77777777" w:rsidR="00C1763A" w:rsidRPr="000D5696" w:rsidRDefault="00C1763A" w:rsidP="00C1763A">
      <w:pPr>
        <w:rPr>
          <w:rFonts w:cs="Times New Roman"/>
          <w:szCs w:val="24"/>
        </w:rPr>
      </w:pPr>
      <w:r w:rsidRPr="000D5696">
        <w:rPr>
          <w:rFonts w:cs="Times New Roman"/>
          <w:szCs w:val="24"/>
        </w:rPr>
        <w:t>Feminist Criticisms</w:t>
      </w:r>
    </w:p>
    <w:p w14:paraId="6121BC13" w14:textId="5C5FC5D1" w:rsidR="00C1763A" w:rsidRPr="000D5696" w:rsidRDefault="00C1763A" w:rsidP="00C1763A">
      <w:pPr>
        <w:rPr>
          <w:rFonts w:cs="Times New Roman"/>
          <w:szCs w:val="24"/>
        </w:rPr>
      </w:pPr>
      <w:r w:rsidRPr="000D5696">
        <w:rPr>
          <w:rFonts w:cs="Times New Roman"/>
          <w:szCs w:val="24"/>
        </w:rPr>
        <w:t xml:space="preserve">Feminists have also criticised Parsons’ theory of the sick role. Ann Oakley (1974) suggested that the rights of the sick role were not afforded to women in the same way they are for men. When a woman is ill they are rarely excused from their ‘normal social role’ of being the housekeeper / mother. Ehrenreich and English (1978) argued that </w:t>
      </w:r>
      <w:proofErr w:type="spellStart"/>
      <w:r w:rsidRPr="000D5696">
        <w:rPr>
          <w:rFonts w:cs="Times New Roman"/>
          <w:szCs w:val="24"/>
        </w:rPr>
        <w:t>medicalisation</w:t>
      </w:r>
      <w:proofErr w:type="spellEnd"/>
      <w:r w:rsidRPr="000D5696">
        <w:rPr>
          <w:rFonts w:cs="Times New Roman"/>
          <w:szCs w:val="24"/>
        </w:rPr>
        <w:t xml:space="preserve"> had taken power away from the previously female dominated area lay-caring and replaced this by a male dominated medical model. Women’s health issues were seen as often treated and defined differently than that of men.</w:t>
      </w:r>
    </w:p>
    <w:p w14:paraId="66391D29" w14:textId="77777777" w:rsidR="00C1763A" w:rsidRPr="000D5696" w:rsidRDefault="00C1763A" w:rsidP="00C1763A">
      <w:pPr>
        <w:rPr>
          <w:rFonts w:cs="Times New Roman"/>
          <w:b/>
          <w:szCs w:val="24"/>
        </w:rPr>
      </w:pPr>
      <w:r w:rsidRPr="000D5696">
        <w:rPr>
          <w:rFonts w:cs="Times New Roman"/>
          <w:b/>
          <w:szCs w:val="24"/>
        </w:rPr>
        <w:t>Interpretivist Criticisms</w:t>
      </w:r>
    </w:p>
    <w:p w14:paraId="10856EFF" w14:textId="2C6989F4" w:rsidR="00C1763A" w:rsidRPr="000D5696" w:rsidRDefault="00C1763A" w:rsidP="00C1763A">
      <w:pPr>
        <w:rPr>
          <w:rFonts w:cs="Times New Roman"/>
          <w:szCs w:val="24"/>
        </w:rPr>
      </w:pPr>
      <w:r w:rsidRPr="000D5696">
        <w:rPr>
          <w:rFonts w:cs="Times New Roman"/>
          <w:szCs w:val="24"/>
        </w:rPr>
        <w:lastRenderedPageBreak/>
        <w:t>The biggest critics however of Parsons’ theories regarding health could be said to be the Interpretivists. They have argued that building an ideal type model of all doctor-patient interactions with only one type of relationship (led by the ‘expert’ doctor) is both unrealistic and misguided. For Interpretivists it is very rare that both the patient and doctor live up to the expectations as set out by Parsons.</w:t>
      </w:r>
    </w:p>
    <w:p w14:paraId="195C5DAA" w14:textId="460D89DA" w:rsidR="00C1763A" w:rsidRPr="000D5696" w:rsidRDefault="00C1763A" w:rsidP="00C1763A">
      <w:pPr>
        <w:rPr>
          <w:rFonts w:cs="Times New Roman"/>
          <w:szCs w:val="24"/>
        </w:rPr>
      </w:pPr>
      <w:r w:rsidRPr="000D5696">
        <w:rPr>
          <w:rFonts w:cs="Times New Roman"/>
          <w:szCs w:val="24"/>
        </w:rPr>
        <w:t xml:space="preserve">Weberian theorist Elliot </w:t>
      </w:r>
      <w:proofErr w:type="spellStart"/>
      <w:r w:rsidRPr="000D5696">
        <w:rPr>
          <w:rFonts w:cs="Times New Roman"/>
          <w:szCs w:val="24"/>
        </w:rPr>
        <w:t>Friedson</w:t>
      </w:r>
      <w:proofErr w:type="spellEnd"/>
      <w:r w:rsidRPr="000D5696">
        <w:rPr>
          <w:rFonts w:cs="Times New Roman"/>
          <w:szCs w:val="24"/>
        </w:rPr>
        <w:t xml:space="preserve"> (1970) found in his studies that when people become ill, they on average ask the opinion of a dozen friends and family members before approaching a doctor.</w:t>
      </w:r>
    </w:p>
    <w:p w14:paraId="371895CE" w14:textId="1FEB53F8" w:rsidR="00C1763A" w:rsidRPr="000D5696" w:rsidRDefault="00C1763A" w:rsidP="00C1763A">
      <w:pPr>
        <w:rPr>
          <w:rFonts w:cs="Times New Roman"/>
          <w:szCs w:val="24"/>
        </w:rPr>
      </w:pPr>
      <w:proofErr w:type="spellStart"/>
      <w:r w:rsidRPr="000D5696">
        <w:rPr>
          <w:rFonts w:cs="Times New Roman"/>
          <w:szCs w:val="24"/>
        </w:rPr>
        <w:t>Friedson</w:t>
      </w:r>
      <w:proofErr w:type="spellEnd"/>
      <w:r w:rsidRPr="000D5696">
        <w:rPr>
          <w:rFonts w:cs="Times New Roman"/>
          <w:szCs w:val="24"/>
        </w:rPr>
        <w:t xml:space="preserve"> called these ‘lay-referrals’ and claimed that gaining access to the sick role was not just </w:t>
      </w:r>
      <w:proofErr w:type="spellStart"/>
      <w:r w:rsidRPr="000D5696">
        <w:rPr>
          <w:rFonts w:cs="Times New Roman"/>
          <w:szCs w:val="24"/>
        </w:rPr>
        <w:t>legitimised</w:t>
      </w:r>
      <w:proofErr w:type="spellEnd"/>
      <w:r w:rsidRPr="000D5696">
        <w:rPr>
          <w:rFonts w:cs="Times New Roman"/>
          <w:szCs w:val="24"/>
        </w:rPr>
        <w:t xml:space="preserve"> by a doctor, but others around the patient needed to be convinced that the individual really was ill. </w:t>
      </w:r>
      <w:proofErr w:type="spellStart"/>
      <w:r w:rsidRPr="000D5696">
        <w:rPr>
          <w:rFonts w:cs="Times New Roman"/>
          <w:szCs w:val="24"/>
        </w:rPr>
        <w:t>Friedson</w:t>
      </w:r>
      <w:proofErr w:type="spellEnd"/>
      <w:r w:rsidRPr="000D5696">
        <w:rPr>
          <w:rFonts w:cs="Times New Roman"/>
          <w:szCs w:val="24"/>
        </w:rPr>
        <w:t xml:space="preserve"> also found that depending on the type of illness, patients had differing levels of access to the sick role. Firstly, the ‘conditional sick role’ as set out by Parsons that applies to short-term illnesses that people can recover from. Secondly, the ‘unconditional sick role’ which refers to the long-term ill and disabled who have no hope of recovery and lastly, the ‘illegitimate sick role’ where patients are blamed for their illness due to their own choices, where people are not always offered the rights of the sick role. </w:t>
      </w:r>
      <w:proofErr w:type="spellStart"/>
      <w:r w:rsidRPr="000D5696">
        <w:rPr>
          <w:rFonts w:cs="Times New Roman"/>
          <w:szCs w:val="24"/>
        </w:rPr>
        <w:t>Friedson</w:t>
      </w:r>
      <w:proofErr w:type="spellEnd"/>
      <w:r w:rsidRPr="000D5696">
        <w:rPr>
          <w:rFonts w:cs="Times New Roman"/>
          <w:szCs w:val="24"/>
        </w:rPr>
        <w:t xml:space="preserve"> highlights one of the biggest problems with Parsons’ theory, which is that it only </w:t>
      </w:r>
      <w:proofErr w:type="gramStart"/>
      <w:r w:rsidRPr="000D5696">
        <w:rPr>
          <w:rFonts w:cs="Times New Roman"/>
          <w:szCs w:val="24"/>
        </w:rPr>
        <w:t>takes into account</w:t>
      </w:r>
      <w:proofErr w:type="gramEnd"/>
      <w:r w:rsidRPr="000D5696">
        <w:rPr>
          <w:rFonts w:cs="Times New Roman"/>
          <w:szCs w:val="24"/>
        </w:rPr>
        <w:t xml:space="preserve"> acute illnesses and not long-term chronic illnesses and disabilities. Another Weberian theorist Bryan S. Turner (1973) argued that doctors are </w:t>
      </w:r>
      <w:proofErr w:type="spellStart"/>
      <w:r w:rsidRPr="000D5696">
        <w:rPr>
          <w:rFonts w:cs="Times New Roman"/>
          <w:szCs w:val="24"/>
        </w:rPr>
        <w:t>mnot</w:t>
      </w:r>
      <w:proofErr w:type="spellEnd"/>
      <w:r w:rsidRPr="000D5696">
        <w:rPr>
          <w:rFonts w:cs="Times New Roman"/>
          <w:szCs w:val="24"/>
        </w:rPr>
        <w:t xml:space="preserve"> always professional in their conduct (e.g. Harold Shipman!) and patients are not always </w:t>
      </w:r>
      <w:proofErr w:type="spellStart"/>
      <w:proofErr w:type="gramStart"/>
      <w:r w:rsidRPr="000D5696">
        <w:rPr>
          <w:rFonts w:cs="Times New Roman"/>
          <w:szCs w:val="24"/>
        </w:rPr>
        <w:t>passive,trusting</w:t>
      </w:r>
      <w:proofErr w:type="spellEnd"/>
      <w:proofErr w:type="gramEnd"/>
      <w:r w:rsidRPr="000D5696">
        <w:rPr>
          <w:rFonts w:cs="Times New Roman"/>
          <w:szCs w:val="24"/>
        </w:rPr>
        <w:t xml:space="preserve"> and prepared to wait for medical help</w:t>
      </w:r>
    </w:p>
    <w:p w14:paraId="22012624" w14:textId="7AE2F8BF" w:rsidR="00C1763A" w:rsidRPr="000D5696" w:rsidRDefault="00C1763A" w:rsidP="00C1763A">
      <w:pPr>
        <w:rPr>
          <w:rFonts w:cs="Times New Roman"/>
          <w:szCs w:val="24"/>
        </w:rPr>
      </w:pPr>
      <w:r w:rsidRPr="000D5696">
        <w:rPr>
          <w:rFonts w:cs="Times New Roman"/>
          <w:szCs w:val="24"/>
        </w:rPr>
        <w:t xml:space="preserve">Symbolic Interactionists also </w:t>
      </w:r>
      <w:proofErr w:type="spellStart"/>
      <w:r w:rsidRPr="000D5696">
        <w:rPr>
          <w:rFonts w:cs="Times New Roman"/>
          <w:szCs w:val="24"/>
        </w:rPr>
        <w:t>criticised</w:t>
      </w:r>
      <w:proofErr w:type="spellEnd"/>
      <w:r w:rsidRPr="000D5696">
        <w:rPr>
          <w:rFonts w:cs="Times New Roman"/>
          <w:szCs w:val="24"/>
        </w:rPr>
        <w:t xml:space="preserve"> Parsons, for instance Byrne and Long (1976) argued that Parsons was misguided in believing the doctor should be in a position of power over the patient. Byrne and Long argued that a ‘patient-centred’ rather than ‘doctor-centred’ interaction was </w:t>
      </w:r>
      <w:r w:rsidRPr="000D5696">
        <w:rPr>
          <w:rFonts w:cs="Times New Roman"/>
          <w:szCs w:val="24"/>
        </w:rPr>
        <w:lastRenderedPageBreak/>
        <w:t xml:space="preserve">preferable to the patient. For instance, it could be argued that a ‘home birth’ (when possible) is preferable to a new mother due to the greater control the patient has over their environment and over their interactions with professionals. Byrne and Long argued that </w:t>
      </w:r>
      <w:proofErr w:type="gramStart"/>
      <w:r w:rsidRPr="000D5696">
        <w:rPr>
          <w:rFonts w:cs="Times New Roman"/>
          <w:szCs w:val="24"/>
        </w:rPr>
        <w:t>doctors</w:t>
      </w:r>
      <w:proofErr w:type="gramEnd"/>
      <w:r w:rsidRPr="000D5696">
        <w:rPr>
          <w:rFonts w:cs="Times New Roman"/>
          <w:szCs w:val="24"/>
        </w:rPr>
        <w:t xml:space="preserve"> direct conversations towards what they are interested in and see as important and limit the contribution made by the patient. Johnson (1972) suggested that restricting the information that is given to patients is a: ‘professional strategy to protect the social distance between doctor and patient by reinforcing the perception by the patient of a competency gap’ (cited in Taylor et al, 1998:439)</w:t>
      </w:r>
    </w:p>
    <w:p w14:paraId="191BC50C" w14:textId="59E5CD15" w:rsidR="000249B4" w:rsidRPr="000D5696" w:rsidRDefault="00D9729D" w:rsidP="000249B4">
      <w:pPr>
        <w:shd w:val="clear" w:color="auto" w:fill="FFFFFF"/>
        <w:spacing w:before="100" w:beforeAutospacing="1" w:after="100" w:afterAutospacing="1" w:line="240" w:lineRule="auto"/>
        <w:rPr>
          <w:rFonts w:eastAsia="Times New Roman" w:cs="Times New Roman"/>
          <w:b/>
          <w:color w:val="000000"/>
          <w:szCs w:val="24"/>
          <w:lang w:eastAsia="en-US"/>
        </w:rPr>
      </w:pPr>
      <w:r w:rsidRPr="000D5696">
        <w:rPr>
          <w:rFonts w:eastAsia="Calibri" w:cs="Times New Roman"/>
          <w:b/>
          <w:color w:val="000000"/>
          <w:szCs w:val="24"/>
        </w:rPr>
        <w:t>HEALTH BELIEF MODEL</w:t>
      </w:r>
    </w:p>
    <w:p w14:paraId="52058A86" w14:textId="782F4E95" w:rsidR="006C7503" w:rsidRPr="000D5696" w:rsidRDefault="006C7503" w:rsidP="006C7503">
      <w:pPr>
        <w:rPr>
          <w:rFonts w:cs="Times New Roman"/>
          <w:szCs w:val="24"/>
        </w:rPr>
      </w:pPr>
      <w:r w:rsidRPr="000D5696">
        <w:rPr>
          <w:rFonts w:cs="Times New Roman"/>
          <w:szCs w:val="24"/>
        </w:rPr>
        <w:t xml:space="preserve">The Health Belief Model (HBM) </w:t>
      </w:r>
      <w:r w:rsidR="0084122D" w:rsidRPr="000D5696">
        <w:rPr>
          <w:rFonts w:cs="Times New Roman"/>
          <w:szCs w:val="24"/>
        </w:rPr>
        <w:t>was</w:t>
      </w:r>
      <w:r w:rsidRPr="000D5696">
        <w:rPr>
          <w:rFonts w:cs="Times New Roman"/>
          <w:szCs w:val="24"/>
        </w:rPr>
        <w:t xml:space="preserve"> researched </w:t>
      </w:r>
      <w:r w:rsidR="0084122D" w:rsidRPr="000D5696">
        <w:rPr>
          <w:rFonts w:cs="Times New Roman"/>
          <w:szCs w:val="24"/>
        </w:rPr>
        <w:t>by</w:t>
      </w:r>
      <w:r w:rsidRPr="000D5696">
        <w:rPr>
          <w:rFonts w:cs="Times New Roman"/>
          <w:szCs w:val="24"/>
        </w:rPr>
        <w:t xml:space="preserve"> (</w:t>
      </w:r>
      <w:proofErr w:type="spellStart"/>
      <w:r w:rsidRPr="000D5696">
        <w:rPr>
          <w:rFonts w:cs="Times New Roman"/>
          <w:szCs w:val="24"/>
        </w:rPr>
        <w:t>Hochbaum</w:t>
      </w:r>
      <w:proofErr w:type="spellEnd"/>
      <w:r w:rsidRPr="000D5696">
        <w:rPr>
          <w:rFonts w:cs="Times New Roman"/>
          <w:szCs w:val="24"/>
        </w:rPr>
        <w:t xml:space="preserve"> &amp; Rosenstock, 1952). The HBM attempts to predict health-related behavior in terms of certain belief patterns. A person's motivation to undertake a health behavior can be divided into three categories: individual perceptions, modifying factors, and likelihood of action. Individual perceptions are factors that affect the perception of illness and with the importance of health to the individual, perceived susceptibility, and perceived severity. Modifying factors include demographic variables, perceived threat, and cues to action. The likelihood of action is the perceived benefits minus the perceived barriers of taking the recommended health action. The combination of these factors causes a response that often manifests into the likelihood of that behavior occurring (</w:t>
      </w:r>
      <w:proofErr w:type="spellStart"/>
      <w:r w:rsidRPr="000D5696">
        <w:rPr>
          <w:rFonts w:cs="Times New Roman"/>
          <w:szCs w:val="24"/>
        </w:rPr>
        <w:t>Janz</w:t>
      </w:r>
      <w:proofErr w:type="spellEnd"/>
      <w:r w:rsidRPr="000D5696">
        <w:rPr>
          <w:rFonts w:cs="Times New Roman"/>
          <w:szCs w:val="24"/>
        </w:rPr>
        <w:t xml:space="preserve"> &amp; Becker, 1984; Rosenstock &amp; </w:t>
      </w:r>
      <w:proofErr w:type="spellStart"/>
      <w:r w:rsidRPr="000D5696">
        <w:rPr>
          <w:rFonts w:cs="Times New Roman"/>
          <w:szCs w:val="24"/>
        </w:rPr>
        <w:t>Strecher</w:t>
      </w:r>
      <w:proofErr w:type="spellEnd"/>
      <w:r w:rsidRPr="000D5696">
        <w:rPr>
          <w:rFonts w:cs="Times New Roman"/>
          <w:szCs w:val="24"/>
        </w:rPr>
        <w:t>, 1988).</w:t>
      </w:r>
    </w:p>
    <w:p w14:paraId="29988D2F" w14:textId="094DC6AA" w:rsidR="006C7503" w:rsidRPr="000D5696" w:rsidRDefault="006C7503" w:rsidP="006C7503">
      <w:pPr>
        <w:rPr>
          <w:rFonts w:cs="Times New Roman"/>
          <w:szCs w:val="24"/>
        </w:rPr>
      </w:pPr>
      <w:r w:rsidRPr="000D5696">
        <w:rPr>
          <w:rFonts w:cs="Times New Roman"/>
          <w:szCs w:val="24"/>
        </w:rPr>
        <w:t>The HBM proposes that the perception of a personal health behavior threat is influenced by at least three factors, general health values, which include interest and concern about health; specific health beliefs about vulnerability to a particular health threat; and beliefs about the consequences of the health problem (</w:t>
      </w:r>
      <w:proofErr w:type="spellStart"/>
      <w:r w:rsidRPr="000D5696">
        <w:rPr>
          <w:rFonts w:cs="Times New Roman"/>
          <w:szCs w:val="24"/>
        </w:rPr>
        <w:t>Hochbaum</w:t>
      </w:r>
      <w:proofErr w:type="spellEnd"/>
      <w:r w:rsidRPr="000D5696">
        <w:rPr>
          <w:rFonts w:cs="Times New Roman"/>
          <w:szCs w:val="24"/>
        </w:rPr>
        <w:t xml:space="preserve"> &amp; Rosenstock, 1952). If a person perceives a threat to their </w:t>
      </w:r>
      <w:r w:rsidRPr="000D5696">
        <w:rPr>
          <w:rFonts w:cs="Times New Roman"/>
          <w:szCs w:val="24"/>
        </w:rPr>
        <w:lastRenderedPageBreak/>
        <w:t>health, is consecutively cued to action, and their perceived benefits outweigh the perceived barriers, then they are likely to undertake the recommended preventive health action. </w:t>
      </w:r>
    </w:p>
    <w:p w14:paraId="22431DF0" w14:textId="77777777" w:rsidR="000249B4" w:rsidRPr="000D5696" w:rsidRDefault="000249B4" w:rsidP="00CE5BDB">
      <w:pPr>
        <w:rPr>
          <w:rFonts w:cs="Times New Roman"/>
          <w:szCs w:val="24"/>
          <w:lang w:eastAsia="en-US"/>
        </w:rPr>
      </w:pPr>
      <w:r w:rsidRPr="000D5696">
        <w:rPr>
          <w:rFonts w:cs="Times New Roman"/>
          <w:szCs w:val="24"/>
          <w:lang w:eastAsia="en-US"/>
        </w:rPr>
        <w:t xml:space="preserve">The HBM derives from psychological and behavioral theory with the foundation that the two components of health-related behavior are 1) the desire to avoid illness, or conversely get well if already ill; and, 2) the belief that a specific health action will prevent, or cure, illness. Ultimately, </w:t>
      </w:r>
      <w:bookmarkStart w:id="0" w:name="_GoBack"/>
      <w:bookmarkEnd w:id="0"/>
      <w:r w:rsidRPr="000D5696">
        <w:rPr>
          <w:rFonts w:cs="Times New Roman"/>
          <w:szCs w:val="24"/>
          <w:lang w:eastAsia="en-US"/>
        </w:rPr>
        <w:t>an individual's course of action often depends on the person's perceptions of the benefits and barriers related to health behavior. There are six constructs of the HBM. The first four constructs were developed as the original tenets of the HBM. The last two were added as research about the HBM evolved.</w:t>
      </w:r>
    </w:p>
    <w:p w14:paraId="03E04427" w14:textId="77777777" w:rsidR="000249B4" w:rsidRPr="000D5696" w:rsidRDefault="000249B4" w:rsidP="00640380">
      <w:pPr>
        <w:numPr>
          <w:ilvl w:val="0"/>
          <w:numId w:val="4"/>
        </w:numPr>
        <w:shd w:val="clear" w:color="auto" w:fill="FFFFFF"/>
        <w:spacing w:before="100" w:beforeAutospacing="1" w:after="100" w:afterAutospacing="1"/>
        <w:rPr>
          <w:rFonts w:eastAsia="Times New Roman" w:cs="Times New Roman"/>
          <w:color w:val="000000"/>
          <w:szCs w:val="24"/>
          <w:lang w:eastAsia="en-US"/>
        </w:rPr>
      </w:pPr>
      <w:r w:rsidRPr="000D5696">
        <w:rPr>
          <w:rFonts w:eastAsia="Times New Roman" w:cs="Times New Roman"/>
          <w:color w:val="000000"/>
          <w:szCs w:val="24"/>
          <w:lang w:eastAsia="en-US"/>
        </w:rPr>
        <w:t>Perceived susceptibility - This refers to a person's subjective perception of the risk of acquiring an illness or disease. There is wide variation in a person's feelings of personal vulnerability to an illness or disease.</w:t>
      </w:r>
    </w:p>
    <w:p w14:paraId="4DA335FA" w14:textId="77777777" w:rsidR="000249B4" w:rsidRPr="000D5696" w:rsidRDefault="000249B4" w:rsidP="00640380">
      <w:pPr>
        <w:numPr>
          <w:ilvl w:val="0"/>
          <w:numId w:val="4"/>
        </w:numPr>
        <w:shd w:val="clear" w:color="auto" w:fill="FFFFFF"/>
        <w:spacing w:before="100" w:beforeAutospacing="1" w:after="100" w:afterAutospacing="1"/>
        <w:rPr>
          <w:rFonts w:eastAsia="Times New Roman" w:cs="Times New Roman"/>
          <w:color w:val="000000"/>
          <w:szCs w:val="24"/>
          <w:lang w:eastAsia="en-US"/>
        </w:rPr>
      </w:pPr>
      <w:r w:rsidRPr="000D5696">
        <w:rPr>
          <w:rFonts w:eastAsia="Times New Roman" w:cs="Times New Roman"/>
          <w:color w:val="000000"/>
          <w:szCs w:val="24"/>
          <w:lang w:eastAsia="en-US"/>
        </w:rPr>
        <w:t>Perceived severity - This refers to a person's feelings on the seriousness of contracting an illness or disease (or leaving the illness or disease untreated). There is wide variation in a person's feelings of severity, and often a person considers the medical consequences (e.g., death, disability) and social consequences (e.g., family life, social relationships) when evaluating the severity.</w:t>
      </w:r>
    </w:p>
    <w:p w14:paraId="095A9F4D" w14:textId="77777777" w:rsidR="000249B4" w:rsidRPr="000D5696" w:rsidRDefault="000249B4" w:rsidP="00640380">
      <w:pPr>
        <w:numPr>
          <w:ilvl w:val="0"/>
          <w:numId w:val="4"/>
        </w:numPr>
        <w:shd w:val="clear" w:color="auto" w:fill="FFFFFF"/>
        <w:spacing w:before="100" w:beforeAutospacing="1" w:after="100" w:afterAutospacing="1"/>
        <w:rPr>
          <w:rFonts w:eastAsia="Times New Roman" w:cs="Times New Roman"/>
          <w:color w:val="000000"/>
          <w:szCs w:val="24"/>
          <w:lang w:eastAsia="en-US"/>
        </w:rPr>
      </w:pPr>
      <w:r w:rsidRPr="000D5696">
        <w:rPr>
          <w:rFonts w:eastAsia="Times New Roman" w:cs="Times New Roman"/>
          <w:color w:val="000000"/>
          <w:szCs w:val="24"/>
          <w:lang w:eastAsia="en-US"/>
        </w:rPr>
        <w:t>Perceived benefits - This refers to a person's perception of the effectiveness of various actions available to reduce the threat of illness or disease (or to cure illness or disease). The course of action a person takes in preventing (or curing) illness or disease relies on consideration and evaluation of both perceived susceptibility and perceived benefit, such that the person would accept the recommended health action if it was perceived as beneficial.</w:t>
      </w:r>
    </w:p>
    <w:p w14:paraId="749DFA87" w14:textId="77777777" w:rsidR="000249B4" w:rsidRPr="000D5696" w:rsidRDefault="000249B4" w:rsidP="00640380">
      <w:pPr>
        <w:numPr>
          <w:ilvl w:val="0"/>
          <w:numId w:val="4"/>
        </w:numPr>
        <w:shd w:val="clear" w:color="auto" w:fill="FFFFFF"/>
        <w:spacing w:before="100" w:beforeAutospacing="1" w:after="100" w:afterAutospacing="1"/>
        <w:rPr>
          <w:rFonts w:eastAsia="Times New Roman" w:cs="Times New Roman"/>
          <w:color w:val="000000"/>
          <w:szCs w:val="24"/>
          <w:lang w:eastAsia="en-US"/>
        </w:rPr>
      </w:pPr>
      <w:r w:rsidRPr="000D5696">
        <w:rPr>
          <w:rFonts w:eastAsia="Times New Roman" w:cs="Times New Roman"/>
          <w:color w:val="000000"/>
          <w:szCs w:val="24"/>
          <w:lang w:eastAsia="en-US"/>
        </w:rPr>
        <w:lastRenderedPageBreak/>
        <w:t>Perceived barriers - This refers to a person's feelings on the obstacles to performing a recommended health action. There is wide variation in a person's feelings of barriers, or impediments, which lead to a cost/benefit analysis. The person weighs the effectiveness of the actions against the perceptions that it may be expensive, dangerous (e.g., side effects), unpleasant (e.g., painful), time-consuming, or inconvenient.</w:t>
      </w:r>
    </w:p>
    <w:p w14:paraId="6BA0F7AA" w14:textId="77777777" w:rsidR="000249B4" w:rsidRPr="000D5696" w:rsidRDefault="000249B4" w:rsidP="00640380">
      <w:pPr>
        <w:numPr>
          <w:ilvl w:val="0"/>
          <w:numId w:val="4"/>
        </w:numPr>
        <w:shd w:val="clear" w:color="auto" w:fill="FFFFFF"/>
        <w:spacing w:before="100" w:beforeAutospacing="1" w:after="100" w:afterAutospacing="1"/>
        <w:rPr>
          <w:rFonts w:eastAsia="Times New Roman" w:cs="Times New Roman"/>
          <w:color w:val="000000"/>
          <w:szCs w:val="24"/>
          <w:lang w:eastAsia="en-US"/>
        </w:rPr>
      </w:pPr>
      <w:r w:rsidRPr="000D5696">
        <w:rPr>
          <w:rFonts w:eastAsia="Times New Roman" w:cs="Times New Roman"/>
          <w:color w:val="000000"/>
          <w:szCs w:val="24"/>
          <w:lang w:eastAsia="en-US"/>
        </w:rPr>
        <w:t>Cue to action - This is the stimulus needed to trigger the decision-making process to accept a recommended health action. These cues can be internal (e.g., chest pains, wheezing, etc.) or external (e.g., advice from others, illness of family member, newspaper article, etc.).</w:t>
      </w:r>
    </w:p>
    <w:p w14:paraId="194A20E2" w14:textId="77777777" w:rsidR="000249B4" w:rsidRPr="000D5696" w:rsidRDefault="000249B4" w:rsidP="00640380">
      <w:pPr>
        <w:numPr>
          <w:ilvl w:val="0"/>
          <w:numId w:val="4"/>
        </w:numPr>
        <w:shd w:val="clear" w:color="auto" w:fill="FFFFFF"/>
        <w:spacing w:before="100" w:beforeAutospacing="1" w:after="100" w:afterAutospacing="1"/>
        <w:rPr>
          <w:rFonts w:eastAsia="Times New Roman" w:cs="Times New Roman"/>
          <w:color w:val="000000"/>
          <w:szCs w:val="24"/>
          <w:lang w:eastAsia="en-US"/>
        </w:rPr>
      </w:pPr>
      <w:r w:rsidRPr="000D5696">
        <w:rPr>
          <w:rFonts w:eastAsia="Times New Roman" w:cs="Times New Roman"/>
          <w:color w:val="000000"/>
          <w:szCs w:val="24"/>
          <w:lang w:eastAsia="en-US"/>
        </w:rPr>
        <w:t>Self-efficacy - This refers to the level of a person's confidence in his or her ability to successfully perform a behavior. This construct was added to the model most recently in mid-1980. Self-efficacy is a construct in many behavioral theories as it directly relates to whether a person performs the desired behavior.</w:t>
      </w:r>
    </w:p>
    <w:p w14:paraId="4BDC35C6" w14:textId="77777777" w:rsidR="000249B4" w:rsidRPr="000D5696" w:rsidRDefault="000249B4" w:rsidP="0084122D">
      <w:pPr>
        <w:rPr>
          <w:rFonts w:cs="Times New Roman"/>
          <w:b/>
          <w:szCs w:val="24"/>
          <w:lang w:eastAsia="en-US"/>
        </w:rPr>
      </w:pPr>
      <w:r w:rsidRPr="000D5696">
        <w:rPr>
          <w:rFonts w:cs="Times New Roman"/>
          <w:b/>
          <w:szCs w:val="24"/>
          <w:lang w:eastAsia="en-US"/>
        </w:rPr>
        <w:t>Limitations of Health Belief Model</w:t>
      </w:r>
    </w:p>
    <w:p w14:paraId="5A07C532" w14:textId="77777777" w:rsidR="000249B4" w:rsidRPr="000D5696" w:rsidRDefault="000249B4" w:rsidP="00CE5BDB">
      <w:pPr>
        <w:rPr>
          <w:rFonts w:cs="Times New Roman"/>
          <w:szCs w:val="24"/>
          <w:lang w:eastAsia="en-US"/>
        </w:rPr>
      </w:pPr>
      <w:r w:rsidRPr="000D5696">
        <w:rPr>
          <w:rFonts w:cs="Times New Roman"/>
          <w:szCs w:val="24"/>
          <w:lang w:eastAsia="en-US"/>
        </w:rPr>
        <w:t>There are several limitations of the HBM which limit its utility in public health. Limitations of the model include the following:</w:t>
      </w:r>
    </w:p>
    <w:p w14:paraId="7724E7F3" w14:textId="77777777" w:rsidR="000249B4" w:rsidRPr="000D5696" w:rsidRDefault="000249B4" w:rsidP="000249B4">
      <w:pPr>
        <w:numPr>
          <w:ilvl w:val="0"/>
          <w:numId w:val="5"/>
        </w:numPr>
        <w:shd w:val="clear" w:color="auto" w:fill="FFFFFF"/>
        <w:spacing w:before="100" w:beforeAutospacing="1" w:after="100" w:afterAutospacing="1" w:line="240" w:lineRule="auto"/>
        <w:rPr>
          <w:rFonts w:eastAsia="Times New Roman" w:cs="Times New Roman"/>
          <w:color w:val="000000"/>
          <w:szCs w:val="24"/>
          <w:lang w:eastAsia="en-US"/>
        </w:rPr>
      </w:pPr>
      <w:r w:rsidRPr="000D5696">
        <w:rPr>
          <w:rFonts w:eastAsia="Times New Roman" w:cs="Times New Roman"/>
          <w:color w:val="000000"/>
          <w:szCs w:val="24"/>
          <w:lang w:eastAsia="en-US"/>
        </w:rPr>
        <w:t>It does not account for a person's attitudes, beliefs, or other individual determinants that dictate a person's acceptance of a health behavior.</w:t>
      </w:r>
    </w:p>
    <w:p w14:paraId="5DE35ED8" w14:textId="77777777" w:rsidR="000249B4" w:rsidRPr="000D5696" w:rsidRDefault="000249B4" w:rsidP="000249B4">
      <w:pPr>
        <w:numPr>
          <w:ilvl w:val="0"/>
          <w:numId w:val="5"/>
        </w:numPr>
        <w:shd w:val="clear" w:color="auto" w:fill="FFFFFF"/>
        <w:spacing w:before="100" w:beforeAutospacing="1" w:after="100" w:afterAutospacing="1" w:line="240" w:lineRule="auto"/>
        <w:rPr>
          <w:rFonts w:eastAsia="Times New Roman" w:cs="Times New Roman"/>
          <w:color w:val="000000"/>
          <w:szCs w:val="24"/>
          <w:lang w:eastAsia="en-US"/>
        </w:rPr>
      </w:pPr>
      <w:r w:rsidRPr="000D5696">
        <w:rPr>
          <w:rFonts w:eastAsia="Times New Roman" w:cs="Times New Roman"/>
          <w:color w:val="000000"/>
          <w:szCs w:val="24"/>
          <w:lang w:eastAsia="en-US"/>
        </w:rPr>
        <w:t xml:space="preserve">It does not </w:t>
      </w:r>
      <w:proofErr w:type="gramStart"/>
      <w:r w:rsidRPr="000D5696">
        <w:rPr>
          <w:rFonts w:eastAsia="Times New Roman" w:cs="Times New Roman"/>
          <w:color w:val="000000"/>
          <w:szCs w:val="24"/>
          <w:lang w:eastAsia="en-US"/>
        </w:rPr>
        <w:t>take into account</w:t>
      </w:r>
      <w:proofErr w:type="gramEnd"/>
      <w:r w:rsidRPr="000D5696">
        <w:rPr>
          <w:rFonts w:eastAsia="Times New Roman" w:cs="Times New Roman"/>
          <w:color w:val="000000"/>
          <w:szCs w:val="24"/>
          <w:lang w:eastAsia="en-US"/>
        </w:rPr>
        <w:t xml:space="preserve"> behaviors that are habitual and thus may inform the decision-making process to accept a recommended action (e.g., smoking).</w:t>
      </w:r>
    </w:p>
    <w:p w14:paraId="76BA7130" w14:textId="026F6FAC" w:rsidR="000249B4" w:rsidRPr="000D5696" w:rsidRDefault="000249B4" w:rsidP="000249B4">
      <w:pPr>
        <w:numPr>
          <w:ilvl w:val="0"/>
          <w:numId w:val="5"/>
        </w:numPr>
        <w:shd w:val="clear" w:color="auto" w:fill="FFFFFF"/>
        <w:spacing w:before="100" w:beforeAutospacing="1" w:after="100" w:afterAutospacing="1" w:line="240" w:lineRule="auto"/>
        <w:rPr>
          <w:rFonts w:eastAsia="Times New Roman" w:cs="Times New Roman"/>
          <w:color w:val="000000"/>
          <w:szCs w:val="24"/>
          <w:lang w:eastAsia="en-US"/>
        </w:rPr>
      </w:pPr>
      <w:r w:rsidRPr="000D5696">
        <w:rPr>
          <w:rFonts w:eastAsia="Times New Roman" w:cs="Times New Roman"/>
          <w:color w:val="000000"/>
          <w:szCs w:val="24"/>
          <w:lang w:eastAsia="en-US"/>
        </w:rPr>
        <w:t xml:space="preserve">It does not </w:t>
      </w:r>
      <w:r w:rsidR="00D9729D" w:rsidRPr="000D5696">
        <w:rPr>
          <w:rFonts w:eastAsia="Times New Roman" w:cs="Times New Roman"/>
          <w:color w:val="000000"/>
          <w:szCs w:val="24"/>
          <w:lang w:eastAsia="en-US"/>
        </w:rPr>
        <w:t>consider</w:t>
      </w:r>
      <w:r w:rsidRPr="000D5696">
        <w:rPr>
          <w:rFonts w:eastAsia="Times New Roman" w:cs="Times New Roman"/>
          <w:color w:val="000000"/>
          <w:szCs w:val="24"/>
          <w:lang w:eastAsia="en-US"/>
        </w:rPr>
        <w:t xml:space="preserve"> behaviors that are performed for non-health related reasons such as social acceptability.</w:t>
      </w:r>
    </w:p>
    <w:p w14:paraId="69952DC7" w14:textId="77777777" w:rsidR="000249B4" w:rsidRPr="000D5696" w:rsidRDefault="000249B4" w:rsidP="000249B4">
      <w:pPr>
        <w:numPr>
          <w:ilvl w:val="0"/>
          <w:numId w:val="5"/>
        </w:numPr>
        <w:shd w:val="clear" w:color="auto" w:fill="FFFFFF"/>
        <w:spacing w:before="100" w:beforeAutospacing="1" w:after="100" w:afterAutospacing="1" w:line="240" w:lineRule="auto"/>
        <w:rPr>
          <w:rFonts w:eastAsia="Times New Roman" w:cs="Times New Roman"/>
          <w:color w:val="000000"/>
          <w:szCs w:val="24"/>
          <w:lang w:eastAsia="en-US"/>
        </w:rPr>
      </w:pPr>
      <w:r w:rsidRPr="000D5696">
        <w:rPr>
          <w:rFonts w:eastAsia="Times New Roman" w:cs="Times New Roman"/>
          <w:color w:val="000000"/>
          <w:szCs w:val="24"/>
          <w:lang w:eastAsia="en-US"/>
        </w:rPr>
        <w:t>It does not account for environmental or economic factors that may prohibit or promote the recommended action.</w:t>
      </w:r>
    </w:p>
    <w:p w14:paraId="1B0A2880" w14:textId="77777777" w:rsidR="000249B4" w:rsidRPr="000D5696" w:rsidRDefault="000249B4" w:rsidP="000249B4">
      <w:pPr>
        <w:numPr>
          <w:ilvl w:val="0"/>
          <w:numId w:val="5"/>
        </w:numPr>
        <w:shd w:val="clear" w:color="auto" w:fill="FFFFFF"/>
        <w:spacing w:before="100" w:beforeAutospacing="1" w:after="100" w:afterAutospacing="1" w:line="240" w:lineRule="auto"/>
        <w:rPr>
          <w:rFonts w:eastAsia="Times New Roman" w:cs="Times New Roman"/>
          <w:color w:val="000000"/>
          <w:szCs w:val="24"/>
          <w:lang w:eastAsia="en-US"/>
        </w:rPr>
      </w:pPr>
      <w:r w:rsidRPr="000D5696">
        <w:rPr>
          <w:rFonts w:eastAsia="Times New Roman" w:cs="Times New Roman"/>
          <w:color w:val="000000"/>
          <w:szCs w:val="24"/>
          <w:lang w:eastAsia="en-US"/>
        </w:rPr>
        <w:t>It assumes that everyone has access to equal amounts of information on the illness or disease.</w:t>
      </w:r>
    </w:p>
    <w:p w14:paraId="6FC07DFB" w14:textId="77777777" w:rsidR="000249B4" w:rsidRPr="000D5696" w:rsidRDefault="000249B4" w:rsidP="000249B4">
      <w:pPr>
        <w:numPr>
          <w:ilvl w:val="0"/>
          <w:numId w:val="5"/>
        </w:numPr>
        <w:shd w:val="clear" w:color="auto" w:fill="FFFFFF"/>
        <w:spacing w:before="100" w:beforeAutospacing="1" w:after="100" w:afterAutospacing="1" w:line="240" w:lineRule="auto"/>
        <w:rPr>
          <w:rFonts w:eastAsia="Times New Roman" w:cs="Times New Roman"/>
          <w:color w:val="000000"/>
          <w:szCs w:val="24"/>
          <w:lang w:eastAsia="en-US"/>
        </w:rPr>
      </w:pPr>
      <w:r w:rsidRPr="000D5696">
        <w:rPr>
          <w:rFonts w:eastAsia="Times New Roman" w:cs="Times New Roman"/>
          <w:color w:val="000000"/>
          <w:szCs w:val="24"/>
          <w:lang w:eastAsia="en-US"/>
        </w:rPr>
        <w:t>It assumes that cues to action are widely prevalent in encouraging people to act and that "health" actions are the main goal in the decision-making process.</w:t>
      </w:r>
    </w:p>
    <w:p w14:paraId="46ADEAF6" w14:textId="77777777" w:rsidR="000249B4" w:rsidRPr="000D5696" w:rsidRDefault="000249B4" w:rsidP="00CE5BDB">
      <w:pPr>
        <w:rPr>
          <w:rFonts w:cs="Times New Roman"/>
          <w:szCs w:val="24"/>
          <w:lang w:eastAsia="en-US"/>
        </w:rPr>
      </w:pPr>
      <w:r w:rsidRPr="000D5696">
        <w:rPr>
          <w:rFonts w:cs="Times New Roman"/>
          <w:szCs w:val="24"/>
          <w:lang w:eastAsia="en-US"/>
        </w:rPr>
        <w:lastRenderedPageBreak/>
        <w:t>The HBM is more descriptive than explanatory, and does not suggest a strategy for changing health-related actions. In preventive health behaviors, early studies showed that perceived susceptibility, benefits, and barriers were consistently associated with the desired health behavior; perceived severity was less often associated with the desired health behavior. The individual constructs are useful, depending on the health outcome of interest, but for the most effective use of the model it should be integrated with other models that account for the environmental context and suggest strategies for change.</w:t>
      </w:r>
    </w:p>
    <w:p w14:paraId="2FE59E61" w14:textId="53E175D1" w:rsidR="000249B4" w:rsidRPr="000D5696" w:rsidRDefault="000249B4" w:rsidP="0084122D">
      <w:pPr>
        <w:rPr>
          <w:rFonts w:cs="Times New Roman"/>
          <w:b/>
          <w:szCs w:val="24"/>
        </w:rPr>
      </w:pPr>
      <w:r w:rsidRPr="000D5696">
        <w:rPr>
          <w:rStyle w:val="anchor-text"/>
          <w:rFonts w:cs="Times New Roman"/>
          <w:b/>
          <w:bCs/>
          <w:color w:val="2E2E2E"/>
          <w:szCs w:val="24"/>
        </w:rPr>
        <w:t>Health Behavior</w:t>
      </w:r>
    </w:p>
    <w:p w14:paraId="706DAD65" w14:textId="3469E6B7" w:rsidR="00C1763A" w:rsidRPr="000D5696" w:rsidRDefault="000249B4" w:rsidP="00C1763A">
      <w:pPr>
        <w:rPr>
          <w:rFonts w:cs="Times New Roman"/>
          <w:color w:val="2E2E2E"/>
          <w:szCs w:val="24"/>
        </w:rPr>
      </w:pPr>
      <w:r w:rsidRPr="000D5696">
        <w:rPr>
          <w:rFonts w:cs="Times New Roman"/>
          <w:color w:val="2E2E2E"/>
          <w:szCs w:val="24"/>
        </w:rPr>
        <w:t>The HBM has provided a useful framework for investigating health behaviors and identifying key health beliefs, has been widely used, and has met with moderate success in predicting a range of health behaviors (</w:t>
      </w:r>
      <w:proofErr w:type="spellStart"/>
      <w:r w:rsidRPr="000D5696">
        <w:rPr>
          <w:rFonts w:cs="Times New Roman"/>
          <w:color w:val="2E2E2E"/>
          <w:szCs w:val="24"/>
        </w:rPr>
        <w:t>Janz</w:t>
      </w:r>
      <w:proofErr w:type="spellEnd"/>
      <w:r w:rsidRPr="000D5696">
        <w:rPr>
          <w:rFonts w:cs="Times New Roman"/>
          <w:color w:val="2E2E2E"/>
          <w:szCs w:val="24"/>
        </w:rPr>
        <w:t xml:space="preserve"> and Becker, 1984; Harrison et al., 1992; Abraham and Sheeran, 2015). The strength of the HBM lies in the fact that it was developed by researchers directly working with health behaviors and so many of the concepts possess face-validity to those working in this area. This common-sense operationalization of a number of cognitive variables relevant to the performance of health behavior partly account for the model's popularity.</w:t>
      </w:r>
    </w:p>
    <w:p w14:paraId="3C202620" w14:textId="62794B1B" w:rsidR="000249B4" w:rsidRPr="000D5696" w:rsidRDefault="000249B4" w:rsidP="00C1763A">
      <w:pPr>
        <w:rPr>
          <w:rFonts w:cs="Times New Roman"/>
          <w:color w:val="2E2E2E"/>
          <w:szCs w:val="24"/>
        </w:rPr>
      </w:pPr>
      <w:r w:rsidRPr="000D5696">
        <w:rPr>
          <w:rFonts w:cs="Times New Roman"/>
          <w:color w:val="2E2E2E"/>
          <w:szCs w:val="24"/>
        </w:rPr>
        <w:t xml:space="preserve">However, compared to other similar social cognitive models of health behaviors, the HBM suffers from a number of weaknesses. The way in which the variables in the HBM combine to produce behavior has not been precisely specified (but see Becker and Rosenstock, 1987) and, as a result, the HBM is frequently tested as six independent predictors of behavior. In addition, various researchers have used somewhat different operationalizations of the six constructs (see Rosenstock, 1974; Becker and </w:t>
      </w:r>
      <w:proofErr w:type="spellStart"/>
      <w:r w:rsidRPr="000D5696">
        <w:rPr>
          <w:rFonts w:cs="Times New Roman"/>
          <w:color w:val="2E2E2E"/>
          <w:szCs w:val="24"/>
        </w:rPr>
        <w:t>Maiman</w:t>
      </w:r>
      <w:proofErr w:type="spellEnd"/>
      <w:r w:rsidRPr="000D5696">
        <w:rPr>
          <w:rFonts w:cs="Times New Roman"/>
          <w:color w:val="2E2E2E"/>
          <w:szCs w:val="24"/>
        </w:rPr>
        <w:t xml:space="preserve">, 1983). Together these factors have weakened the status of the HBM as a coherent SCM of health behavior (Conner, 1993; Sheeran and Abraham, 1995). Moreover, </w:t>
      </w:r>
      <w:r w:rsidRPr="000D5696">
        <w:rPr>
          <w:rFonts w:cs="Times New Roman"/>
          <w:color w:val="2E2E2E"/>
          <w:szCs w:val="24"/>
        </w:rPr>
        <w:lastRenderedPageBreak/>
        <w:t>key social cognitive variables, found to be highly predictive of behavior in other models, are not incorporated in the HBM. For example, intentions to perform a behavior and social pressure are key components of the Theory of Reasoned Action/Planned Behavior which do not appear in the HBM. Also, perceptions of personal control over the performance of the behavior (self-efficacy beliefs) which have been found to be such powerful predictors of behavior in models based upon Social Cognitive Theory (Bandura, 1982; Schwarzer and Fuchs, 1996) are not explicitly included in the HBM, although Rosenstock et al. (1988) proposed that self-efficacy should be added to the model. Studies that have tested the predictive utility of an extended HBM, including self-efficacy, have generally found that it is a useful additional predictor (e.g., Norman and Brain, 2005; Schmiege et al., 2007). In addition, in not specifying a causal ordering among the variables, as is done in other models, more powerful analysis of data and clearer indications of how interventions may have their effects are precluded in the HBM. Several authors have noted, for example, that threat is perhaps best seen as a more distal predictor of behavior acting via influences upon outcome expectancies. Finally, the model is static; there is no distinction between a motivational stage dominated by cognitive variables and a volitional phase where action is planned, performed and maintained (Schwarzer, 1992). Such distinctions are thought to be important in understanding various health behaviors. Hence, while an extremely popular SCM for use in understanding health behavior, it is also in a number of ways limited and may receive relatively less attention in the future.</w:t>
      </w:r>
    </w:p>
    <w:p w14:paraId="7FEBFAB7" w14:textId="31B875B4" w:rsidR="00D4745C" w:rsidRPr="000D5696" w:rsidRDefault="00D4745C" w:rsidP="00CE5BDB">
      <w:pPr>
        <w:rPr>
          <w:rFonts w:cs="Times New Roman"/>
          <w:szCs w:val="24"/>
          <w:lang w:eastAsia="en-US"/>
        </w:rPr>
      </w:pPr>
      <w:r w:rsidRPr="000D5696">
        <w:rPr>
          <w:rFonts w:cs="Times New Roman"/>
          <w:szCs w:val="24"/>
          <w:lang w:eastAsia="en-US"/>
        </w:rPr>
        <w:t>The relationship between socioeconomic status (SES)and health has been studied for a long time. In the 1960s, academics generally believed that with medical technology and economic development, health inequality would be reduced, a</w:t>
      </w:r>
      <w:r w:rsidR="0086669C" w:rsidRPr="000D5696">
        <w:rPr>
          <w:rFonts w:cs="Times New Roman"/>
          <w:szCs w:val="24"/>
          <w:lang w:eastAsia="en-US"/>
        </w:rPr>
        <w:t>t least in developed countries</w:t>
      </w:r>
      <w:r w:rsidRPr="000D5696">
        <w:rPr>
          <w:rFonts w:cs="Times New Roman"/>
          <w:szCs w:val="24"/>
          <w:lang w:eastAsia="en-US"/>
        </w:rPr>
        <w:t>. However, in the 1980s, Black found that health inequality in Britain has not only not diminished, b</w:t>
      </w:r>
      <w:r w:rsidR="0086669C" w:rsidRPr="000D5696">
        <w:rPr>
          <w:rFonts w:cs="Times New Roman"/>
          <w:szCs w:val="24"/>
          <w:lang w:eastAsia="en-US"/>
        </w:rPr>
        <w:t xml:space="preserve">ut actually </w:t>
      </w:r>
      <w:r w:rsidR="0086669C" w:rsidRPr="000D5696">
        <w:rPr>
          <w:rFonts w:cs="Times New Roman"/>
          <w:szCs w:val="24"/>
          <w:lang w:eastAsia="en-US"/>
        </w:rPr>
        <w:lastRenderedPageBreak/>
        <w:t>increased</w:t>
      </w:r>
      <w:r w:rsidRPr="000D5696">
        <w:rPr>
          <w:rFonts w:cs="Times New Roman"/>
          <w:szCs w:val="24"/>
          <w:lang w:eastAsia="en-US"/>
        </w:rPr>
        <w:t>. Studies in the United States and European countries have also supported this conclusion, that is, the health condition of the group with higher SES is obviously better than t</w:t>
      </w:r>
      <w:r w:rsidR="0086669C" w:rsidRPr="000D5696">
        <w:rPr>
          <w:rFonts w:cs="Times New Roman"/>
          <w:szCs w:val="24"/>
          <w:lang w:eastAsia="en-US"/>
        </w:rPr>
        <w:t xml:space="preserve">hat of the group with lower SES. </w:t>
      </w:r>
      <w:r w:rsidRPr="000D5696">
        <w:rPr>
          <w:rFonts w:cs="Times New Roman"/>
          <w:szCs w:val="24"/>
          <w:lang w:eastAsia="en-US"/>
        </w:rPr>
        <w:t>These studies confirmed the profound impact of SES on health; the mechanism behind this phenomenon, however, has been a matter of debated. Scholars have proposed two different perspectives: social causation theo</w:t>
      </w:r>
      <w:r w:rsidR="0086669C" w:rsidRPr="000D5696">
        <w:rPr>
          <w:rFonts w:cs="Times New Roman"/>
          <w:szCs w:val="24"/>
          <w:lang w:eastAsia="en-US"/>
        </w:rPr>
        <w:t>ry and health selective theory</w:t>
      </w:r>
      <w:r w:rsidRPr="000D5696">
        <w:rPr>
          <w:rFonts w:cs="Times New Roman"/>
          <w:szCs w:val="24"/>
          <w:lang w:eastAsia="en-US"/>
        </w:rPr>
        <w:t>. The former suggests that the difference in SES is the root cause of healt</w:t>
      </w:r>
      <w:r w:rsidR="0086669C" w:rsidRPr="000D5696">
        <w:rPr>
          <w:rFonts w:cs="Times New Roman"/>
          <w:szCs w:val="24"/>
          <w:lang w:eastAsia="en-US"/>
        </w:rPr>
        <w:t>h inequalities</w:t>
      </w:r>
      <w:r w:rsidRPr="000D5696">
        <w:rPr>
          <w:rFonts w:cs="Times New Roman"/>
          <w:szCs w:val="24"/>
          <w:lang w:eastAsia="en-US"/>
        </w:rPr>
        <w:t>. On the contrary, the latter implies that people with good health tend to move up</w:t>
      </w:r>
      <w:r w:rsidR="0086669C" w:rsidRPr="000D5696">
        <w:rPr>
          <w:rFonts w:cs="Times New Roman"/>
          <w:szCs w:val="24"/>
          <w:lang w:eastAsia="en-US"/>
        </w:rPr>
        <w:t xml:space="preserve">ward and thus have a higher SES. </w:t>
      </w:r>
      <w:r w:rsidRPr="000D5696">
        <w:rPr>
          <w:rFonts w:cs="Times New Roman"/>
          <w:szCs w:val="24"/>
          <w:lang w:eastAsia="en-US"/>
        </w:rPr>
        <w:t>Despite these arguments, there appears to be a growing agreement that the influence of SES on health is closel</w:t>
      </w:r>
      <w:r w:rsidR="0086669C" w:rsidRPr="000D5696">
        <w:rPr>
          <w:rFonts w:cs="Times New Roman"/>
          <w:szCs w:val="24"/>
          <w:lang w:eastAsia="en-US"/>
        </w:rPr>
        <w:t xml:space="preserve">y related to people’s lifestyle. </w:t>
      </w:r>
      <w:r w:rsidRPr="000D5696">
        <w:rPr>
          <w:rFonts w:cs="Times New Roman"/>
          <w:szCs w:val="24"/>
          <w:lang w:eastAsia="en-US"/>
        </w:rPr>
        <w:t>In a more concrete context, health is maintained and improved through the efforts and healthy li</w:t>
      </w:r>
      <w:r w:rsidR="0086669C" w:rsidRPr="000D5696">
        <w:rPr>
          <w:rFonts w:cs="Times New Roman"/>
          <w:szCs w:val="24"/>
          <w:lang w:eastAsia="en-US"/>
        </w:rPr>
        <w:t>festyle choices of individuals</w:t>
      </w:r>
      <w:r w:rsidRPr="000D5696">
        <w:rPr>
          <w:rFonts w:cs="Times New Roman"/>
          <w:szCs w:val="24"/>
          <w:lang w:eastAsia="en-US"/>
        </w:rPr>
        <w:t>.</w:t>
      </w:r>
    </w:p>
    <w:p w14:paraId="1AFE3A6A" w14:textId="6AE91FC4" w:rsidR="00D4745C" w:rsidRPr="000D5696" w:rsidRDefault="00D4745C" w:rsidP="00CE5BDB">
      <w:pPr>
        <w:rPr>
          <w:rFonts w:cs="Times New Roman"/>
          <w:szCs w:val="24"/>
          <w:lang w:eastAsia="en-US"/>
        </w:rPr>
      </w:pPr>
      <w:r w:rsidRPr="000D5696">
        <w:rPr>
          <w:rFonts w:cs="Times New Roman"/>
          <w:szCs w:val="24"/>
          <w:lang w:eastAsia="en-US"/>
        </w:rPr>
        <w:t>A healthy lifestyle refers to a series of behavioral patterns through which individuals maintain and promote good health based on certain motivations, norms, abilities, and knowledge about what constitutes healthy, stress relieving,</w:t>
      </w:r>
      <w:r w:rsidR="0086669C" w:rsidRPr="000D5696">
        <w:rPr>
          <w:rFonts w:cs="Times New Roman"/>
          <w:szCs w:val="24"/>
          <w:lang w:eastAsia="en-US"/>
        </w:rPr>
        <w:t xml:space="preserve"> or pleasurable behaviors</w:t>
      </w:r>
      <w:r w:rsidRPr="000D5696">
        <w:rPr>
          <w:rFonts w:cs="Times New Roman"/>
          <w:szCs w:val="24"/>
          <w:lang w:eastAsia="en-US"/>
        </w:rPr>
        <w:t xml:space="preserve">. Lifestyle involves both health risk behaviors, such as smoking, drinking, and sedentariness and health-promoting behaviors, such as physical exercise, interpersonal interaction, stress management, and spiritual growth. Research findings have indicated that health is closely related to people’s lifestyles in a wide range of social contexts. For example, an investigation conducted in the United States showed that the actual leading causes of mortality are behavioral risk factors, such as smoking, poor diet, and physical inactivity. The study concluded that lifestyle-related behavioral factors account for nearly 40% of deaths. Moreover, lifestyles could be passed down across generations. A study of mother-child pairs suggested that if a mother of a 0–3 years old child has a healthy </w:t>
      </w:r>
      <w:proofErr w:type="gramStart"/>
      <w:r w:rsidRPr="000D5696">
        <w:rPr>
          <w:rFonts w:cs="Times New Roman"/>
          <w:szCs w:val="24"/>
          <w:lang w:eastAsia="en-US"/>
        </w:rPr>
        <w:t>lifestyle,</w:t>
      </w:r>
      <w:proofErr w:type="gramEnd"/>
      <w:r w:rsidRPr="000D5696">
        <w:rPr>
          <w:rFonts w:cs="Times New Roman"/>
          <w:szCs w:val="24"/>
          <w:lang w:eastAsia="en-US"/>
        </w:rPr>
        <w:t xml:space="preserve"> the child is 27% more likely to be healthy and adopt the same lifestyle. In addition to physical health, lifestyle has also been noted to be associated with psychological health. Persons with unhealthy lifestyles </w:t>
      </w:r>
      <w:r w:rsidRPr="000D5696">
        <w:rPr>
          <w:rFonts w:cs="Times New Roman"/>
          <w:szCs w:val="24"/>
          <w:lang w:eastAsia="en-US"/>
        </w:rPr>
        <w:lastRenderedPageBreak/>
        <w:t>usually have worse mental health compared to those with healthy lifestyles. For instance, risk behaviors, such as smoking, have been reported to be assoc</w:t>
      </w:r>
      <w:r w:rsidR="0086669C" w:rsidRPr="000D5696">
        <w:rPr>
          <w:rFonts w:cs="Times New Roman"/>
          <w:szCs w:val="24"/>
          <w:lang w:eastAsia="en-US"/>
        </w:rPr>
        <w:t>iated with poor mental health. By</w:t>
      </w:r>
      <w:r w:rsidRPr="000D5696">
        <w:rPr>
          <w:rFonts w:cs="Times New Roman"/>
          <w:szCs w:val="24"/>
          <w:lang w:eastAsia="en-US"/>
        </w:rPr>
        <w:t xml:space="preserve"> contrast, health-promoting behavior, such as taking physical exercise, have been recommended as an effective intervention to relieve depression </w:t>
      </w:r>
    </w:p>
    <w:p w14:paraId="2613B8C5" w14:textId="5E13D69A" w:rsidR="00D4745C" w:rsidRPr="000D5696" w:rsidRDefault="00D4745C" w:rsidP="00CE5BDB">
      <w:pPr>
        <w:rPr>
          <w:rFonts w:cs="Times New Roman"/>
          <w:szCs w:val="24"/>
          <w:lang w:eastAsia="en-US"/>
        </w:rPr>
      </w:pPr>
      <w:r w:rsidRPr="000D5696">
        <w:rPr>
          <w:rFonts w:cs="Times New Roman"/>
          <w:szCs w:val="24"/>
          <w:lang w:eastAsia="en-US"/>
        </w:rPr>
        <w:t>Lifestyle and SES are strongly related. As Max Weber noted, one can choose a certain lifestyle from the existing choices, but the range of possible choices is largely determined by one’s SES</w:t>
      </w:r>
      <w:r w:rsidR="0086669C" w:rsidRPr="000D5696">
        <w:rPr>
          <w:rFonts w:cs="Times New Roman"/>
          <w:szCs w:val="24"/>
          <w:lang w:eastAsia="en-US"/>
        </w:rPr>
        <w:t xml:space="preserve"> and other social determinants</w:t>
      </w:r>
      <w:r w:rsidRPr="000D5696">
        <w:rPr>
          <w:rFonts w:cs="Times New Roman"/>
          <w:szCs w:val="24"/>
          <w:lang w:eastAsia="en-US"/>
        </w:rPr>
        <w:t>. Similarly, according to Cockerham, lifestyle is fundamentally constrained by social hierarchy and an individual’s living conditions.</w:t>
      </w:r>
      <w:r w:rsidR="0086669C" w:rsidRPr="000D5696">
        <w:rPr>
          <w:rFonts w:cs="Times New Roman"/>
          <w:szCs w:val="24"/>
          <w:lang w:eastAsia="en-US"/>
        </w:rPr>
        <w:t xml:space="preserve"> </w:t>
      </w:r>
      <w:r w:rsidRPr="000D5696">
        <w:rPr>
          <w:rFonts w:cs="Times New Roman"/>
          <w:szCs w:val="24"/>
          <w:lang w:eastAsia="en-US"/>
        </w:rPr>
        <w:t xml:space="preserve"> Moreover, a study indicated that excluding the effect of lifestyle from the overall effect of socioeconomic status on health would significantly reduce the latter. Therefore, lifestyle could be one of the intermediate mechanisms linking SES and health. It is noteworthy that although the literature suggests a strong correlation between SES, lifestyle, and health, the nature of their relationship is not well-specified. On one hand, previous studies routinely focused on single behavior or small subsets of lifestyle behaviors (especially risk behaviors, such as drinking and smoking), but focusing on single or small subsets of behavio</w:t>
      </w:r>
      <w:r w:rsidR="0086669C" w:rsidRPr="000D5696">
        <w:rPr>
          <w:rFonts w:cs="Times New Roman"/>
          <w:szCs w:val="24"/>
          <w:lang w:eastAsia="en-US"/>
        </w:rPr>
        <w:t>rs offers limited implications</w:t>
      </w:r>
      <w:r w:rsidRPr="000D5696">
        <w:rPr>
          <w:rFonts w:cs="Times New Roman"/>
          <w:szCs w:val="24"/>
          <w:lang w:eastAsia="en-US"/>
        </w:rPr>
        <w:t>. On the other hand, many of the existing studies on SES and lifestyle have concentrat</w:t>
      </w:r>
      <w:r w:rsidR="0086669C" w:rsidRPr="000D5696">
        <w:rPr>
          <w:rFonts w:cs="Times New Roman"/>
          <w:szCs w:val="24"/>
          <w:lang w:eastAsia="en-US"/>
        </w:rPr>
        <w:t xml:space="preserve">ed on people’s physical health. </w:t>
      </w:r>
      <w:r w:rsidRPr="000D5696">
        <w:rPr>
          <w:rFonts w:cs="Times New Roman"/>
          <w:szCs w:val="24"/>
          <w:lang w:eastAsia="en-US"/>
        </w:rPr>
        <w:t xml:space="preserve"> However, the modern construction of health includes both physical and psychological health.</w:t>
      </w:r>
    </w:p>
    <w:p w14:paraId="3E71B104" w14:textId="77777777" w:rsidR="00330FAD" w:rsidRPr="000D5696" w:rsidRDefault="00330FAD" w:rsidP="00CE5BDB">
      <w:pPr>
        <w:rPr>
          <w:rFonts w:cs="Times New Roman"/>
          <w:szCs w:val="24"/>
          <w:lang w:eastAsia="en-US"/>
        </w:rPr>
      </w:pPr>
      <w:r w:rsidRPr="000D5696">
        <w:rPr>
          <w:rFonts w:cs="Times New Roman"/>
          <w:szCs w:val="24"/>
          <w:lang w:eastAsia="en-US"/>
        </w:rPr>
        <w:t>Education contributes to human capital by developing a range of skills and traits, such as cognitive skills, problem solving ability, learned effectiveness, and personal control. These various forms of human capital may all mediate the relationship between education and health. Achieving positive health outcomes in today’s care environment requires a variety of factors to come together that may be affected by educational attainment and a combination of soft and hard skills.</w:t>
      </w:r>
    </w:p>
    <w:p w14:paraId="2AA0B26F" w14:textId="60F556A3" w:rsidR="00330FAD" w:rsidRPr="000D5696" w:rsidRDefault="00330FAD" w:rsidP="00CE5BDB">
      <w:pPr>
        <w:rPr>
          <w:rFonts w:cs="Times New Roman"/>
          <w:szCs w:val="24"/>
          <w:lang w:eastAsia="en-US"/>
        </w:rPr>
      </w:pPr>
      <w:r w:rsidRPr="000D5696">
        <w:rPr>
          <w:rFonts w:cs="Times New Roman"/>
          <w:szCs w:val="24"/>
          <w:lang w:eastAsia="en-US"/>
        </w:rPr>
        <w:lastRenderedPageBreak/>
        <w:t>Patients benefit from the ability to understand their health needs, follow or read instructions, advocate for themselves and their families, and communicate effectively with health providers.</w:t>
      </w:r>
      <w:r w:rsidR="0086669C" w:rsidRPr="000D5696">
        <w:rPr>
          <w:rFonts w:cs="Times New Roman"/>
          <w:szCs w:val="24"/>
          <w:lang w:eastAsia="en-US"/>
        </w:rPr>
        <w:t xml:space="preserve"> </w:t>
      </w:r>
      <w:r w:rsidRPr="000D5696">
        <w:rPr>
          <w:rFonts w:cs="Times New Roman"/>
          <w:szCs w:val="24"/>
          <w:lang w:eastAsia="en-US"/>
        </w:rPr>
        <w:t>Individuals with low health literacy had poorer health-related knowledge and comprehension, ability to demonstrate taking medications properly, and ability to interpret medication labels and health messages.</w:t>
      </w:r>
    </w:p>
    <w:p w14:paraId="71EA06D7" w14:textId="77777777" w:rsidR="00330FAD" w:rsidRPr="000D5696" w:rsidRDefault="00330FAD" w:rsidP="00CE5BDB">
      <w:pPr>
        <w:rPr>
          <w:rFonts w:cs="Times New Roman"/>
          <w:szCs w:val="24"/>
          <w:lang w:eastAsia="en-US"/>
        </w:rPr>
      </w:pPr>
      <w:r w:rsidRPr="000D5696">
        <w:rPr>
          <w:rFonts w:cs="Times New Roman"/>
          <w:szCs w:val="24"/>
          <w:lang w:eastAsia="en-US"/>
        </w:rPr>
        <w:t>Adults with higher levels of education are less likely to engage in risky behaviors, such as smoking and drinking and are more likely to have healthy behaviors related to diet and exercise. The impact of education on health behaviors likely stems from education’s impact on skills as well as socioeconomic status.</w:t>
      </w:r>
    </w:p>
    <w:p w14:paraId="3A1560FD" w14:textId="77777777" w:rsidR="00330FAD" w:rsidRPr="000D5696" w:rsidRDefault="00330FAD" w:rsidP="00CE5BDB">
      <w:pPr>
        <w:rPr>
          <w:rFonts w:cs="Times New Roman"/>
          <w:szCs w:val="24"/>
          <w:lang w:eastAsia="en-US"/>
        </w:rPr>
      </w:pPr>
      <w:r w:rsidRPr="000D5696">
        <w:rPr>
          <w:rFonts w:cs="Times New Roman"/>
          <w:szCs w:val="24"/>
          <w:lang w:eastAsia="en-US"/>
        </w:rPr>
        <w:t>Education offers opportunities to learn more about health and health risks, both in the form of health education in the school curriculum and by giving individuals the health literacy to draw on, later in life, and absorb messages about important lifestyle choices to prevent or manage diseases.</w:t>
      </w:r>
    </w:p>
    <w:p w14:paraId="61369F8D" w14:textId="2D4A2F44" w:rsidR="00330FAD" w:rsidRPr="000D5696" w:rsidRDefault="00330FAD" w:rsidP="00CE5BDB">
      <w:pPr>
        <w:rPr>
          <w:rFonts w:cs="Times New Roman"/>
          <w:szCs w:val="24"/>
          <w:lang w:eastAsia="en-US"/>
        </w:rPr>
      </w:pPr>
      <w:r w:rsidRPr="000D5696">
        <w:rPr>
          <w:rFonts w:cs="Times New Roman"/>
          <w:szCs w:val="24"/>
          <w:lang w:eastAsia="en-US"/>
        </w:rPr>
        <w:t>Adults with higher levels of education also tend to have lower exposure to stress related to economic deprivation or relative deprivation.</w:t>
      </w:r>
      <w:r w:rsidR="0086669C" w:rsidRPr="000D5696">
        <w:rPr>
          <w:rFonts w:cs="Times New Roman"/>
          <w:szCs w:val="24"/>
          <w:lang w:eastAsia="en-US"/>
        </w:rPr>
        <w:t xml:space="preserve"> </w:t>
      </w:r>
      <w:r w:rsidRPr="000D5696">
        <w:rPr>
          <w:rFonts w:cs="Times New Roman"/>
          <w:szCs w:val="24"/>
          <w:lang w:eastAsia="en-US"/>
        </w:rPr>
        <w:t>Individuals with more education tend to have greater socioeconomic resources for a healthy lifestyle and a greater relative ability to live and work in environments with the resources and built designs for healthy living.</w:t>
      </w:r>
    </w:p>
    <w:p w14:paraId="121B07DB" w14:textId="302C446F" w:rsidR="00330FAD" w:rsidRPr="000D5696" w:rsidRDefault="00330FAD" w:rsidP="00CE5BDB">
      <w:pPr>
        <w:rPr>
          <w:rFonts w:cs="Times New Roman"/>
          <w:color w:val="333333"/>
          <w:szCs w:val="24"/>
          <w:shd w:val="clear" w:color="auto" w:fill="FFFFFF"/>
        </w:rPr>
      </w:pPr>
      <w:r w:rsidRPr="000D5696">
        <w:rPr>
          <w:rFonts w:cs="Times New Roman"/>
          <w:color w:val="333333"/>
          <w:szCs w:val="24"/>
          <w:shd w:val="clear" w:color="auto" w:fill="FFFFFF"/>
        </w:rPr>
        <w:t>Gender, age and sociocultural factors are likely to influence health relat</w:t>
      </w:r>
      <w:r w:rsidR="0086669C" w:rsidRPr="000D5696">
        <w:rPr>
          <w:rFonts w:cs="Times New Roman"/>
          <w:color w:val="333333"/>
          <w:szCs w:val="24"/>
          <w:shd w:val="clear" w:color="auto" w:fill="FFFFFF"/>
        </w:rPr>
        <w:t xml:space="preserve">ed behavior including screening. </w:t>
      </w:r>
      <w:r w:rsidRPr="000D5696">
        <w:rPr>
          <w:rFonts w:cs="Times New Roman"/>
          <w:color w:val="333333"/>
          <w:szCs w:val="24"/>
          <w:shd w:val="clear" w:color="auto" w:fill="FFFFFF"/>
        </w:rPr>
        <w:t>Women are more likely to attend for screening if they are 'health conscious', have had prior screening, or are aware, for example, that mammography reduces the risk of de</w:t>
      </w:r>
      <w:r w:rsidR="0086669C" w:rsidRPr="000D5696">
        <w:rPr>
          <w:rFonts w:cs="Times New Roman"/>
          <w:color w:val="333333"/>
          <w:szCs w:val="24"/>
          <w:shd w:val="clear" w:color="auto" w:fill="FFFFFF"/>
        </w:rPr>
        <w:t xml:space="preserve">veloping advanced breast cancer. </w:t>
      </w:r>
      <w:r w:rsidRPr="000D5696">
        <w:rPr>
          <w:rFonts w:cs="Times New Roman"/>
          <w:color w:val="333333"/>
          <w:szCs w:val="24"/>
          <w:shd w:val="clear" w:color="auto" w:fill="FFFFFF"/>
        </w:rPr>
        <w:t xml:space="preserve">If women attend for mammography however, it is not known if they also attend for other screening tests (e.g. cholesterol). Often women become the family health managers, encouraging male partners and family members to attend for health checks. Exploration of gender </w:t>
      </w:r>
      <w:r w:rsidRPr="000D5696">
        <w:rPr>
          <w:rFonts w:cs="Times New Roman"/>
          <w:color w:val="333333"/>
          <w:szCs w:val="24"/>
          <w:shd w:val="clear" w:color="auto" w:fill="FFFFFF"/>
        </w:rPr>
        <w:lastRenderedPageBreak/>
        <w:t>differences in health behaviors is an important step towards an understanding of preventative practices and future education needs. Again, little is understood about age differences in screening practices and perceived needs as they relate to prevention of illness. It is also unclear whether individuals perceive that their health is their own responsibility, if they act on these perceptions, or if they rely on health professionals to implement health checks. What </w:t>
      </w:r>
      <w:r w:rsidRPr="000D5696">
        <w:rPr>
          <w:rFonts w:cs="Times New Roman"/>
          <w:i/>
          <w:iCs/>
          <w:color w:val="333333"/>
          <w:szCs w:val="24"/>
          <w:shd w:val="clear" w:color="auto" w:fill="FFFFFF"/>
        </w:rPr>
        <w:t>is</w:t>
      </w:r>
      <w:r w:rsidRPr="000D5696">
        <w:rPr>
          <w:rFonts w:cs="Times New Roman"/>
          <w:color w:val="333333"/>
          <w:szCs w:val="24"/>
          <w:shd w:val="clear" w:color="auto" w:fill="FFFFFF"/>
        </w:rPr>
        <w:t> known is that barriers to screening include the perceived need for a referral, lack of discussion with health care providers and unsatisfactory relationships with GPs</w:t>
      </w:r>
    </w:p>
    <w:p w14:paraId="614B1797" w14:textId="77777777" w:rsidR="00EF542C" w:rsidRPr="000D5696" w:rsidRDefault="00EF542C" w:rsidP="00CE5BDB">
      <w:pPr>
        <w:rPr>
          <w:rFonts w:cs="Times New Roman"/>
          <w:szCs w:val="24"/>
        </w:rPr>
      </w:pPr>
      <w:r w:rsidRPr="000D5696">
        <w:rPr>
          <w:rFonts w:cs="Times New Roman"/>
          <w:szCs w:val="24"/>
        </w:rPr>
        <w:t>People in lower socio-economic groups are more likely to have long-term health conditions, and these conditions tend to be more severe than those experienced by people in higher socio-economic groups. Individuals of lower socioeconomic status experience a wide array of health problems as a result of their economic status. They are unable to use health care as often, and when they do it is of lower quality, even though they generally tend to experience a much higher rate of health issues. Furthermore, individuals of lower socioeconomic status have less education and often perform jobs without significant health and benefits plans, whereas individuals of higher standing are more likely to have jobs that provide medical insurance. Consequently, they have higher rates of infant mortality, cancer, cardiovascular disease, and disabling physical injuries. Social determinants of health are the economic and social conditions, and their distribution among the population, that influence individual and group differences in health status. They are risk factors found in one’s living and working conditions (such as the distribution of income, wealth, influence, and power), rather than individual factors (such as behavioral risk factors or genetics) that influence the risk for a disease, injury, or vulnerability to disease or injury. According to some viewpoints, these distributions of social determinants are shaped by public policies that reflect the influence of prevailing political ideologies of those governing a jurisdiction.</w:t>
      </w:r>
    </w:p>
    <w:p w14:paraId="18D4DC5E" w14:textId="4881C390" w:rsidR="00EF542C" w:rsidRPr="000D5696" w:rsidRDefault="00EF542C" w:rsidP="00CE5BDB">
      <w:pPr>
        <w:rPr>
          <w:rFonts w:cs="Times New Roman"/>
          <w:szCs w:val="24"/>
        </w:rPr>
      </w:pPr>
      <w:r w:rsidRPr="000D5696">
        <w:rPr>
          <w:rFonts w:cs="Times New Roman"/>
          <w:szCs w:val="24"/>
        </w:rPr>
        <w:lastRenderedPageBreak/>
        <w:t>Occupation is important in maintaining health but certain occupations may actually cause ill health. Ill health may lower occupational performance. The relationship is further complicated by poor performance contributing to ill health which further lowers performance. An example would be someone performing poorly in paid employment and becoming depressed as an indirect result (perhaps because of redeployment) and performing even more poorly as a result of the depression. The effect of some disease processes on performance will now be explored. Certain pathological conditions will have a typical effect on performance for instance a cerebrovascular accident, a not uncommon cause of occupational dysfunction, will affect sensation and motor skills in a fairly predictable way. The degree of impairment is variable depending on the aetiology, severity and location of the cerebral injury. The effects may be profound. Laterality is important since one side of the brain has a major impact on language and the other motor skills. Which side of the brain is dominant for various functions depends on whether or not the individual is right handed. Occupational performance is affected by sensorimotor deficit and subsequent musculosketal affects for instance significant sensorimotor deficit commonly affects the shoulder joint with its innate dependence on good muscular tone of the rotator cuff from which the joint largely derives its stability. Disruption of cognitive function and emotional liability are factors commonly involved in severe cerebrovascular accidents to the further detriment of performance.</w:t>
      </w:r>
    </w:p>
    <w:p w14:paraId="3916B3D4" w14:textId="77777777" w:rsidR="00EF542C" w:rsidRPr="000D5696" w:rsidRDefault="00EF542C" w:rsidP="00CE5BDB">
      <w:pPr>
        <w:rPr>
          <w:rFonts w:cs="Times New Roman"/>
          <w:szCs w:val="24"/>
        </w:rPr>
      </w:pPr>
      <w:r w:rsidRPr="000D5696">
        <w:rPr>
          <w:rFonts w:cs="Times New Roman"/>
          <w:szCs w:val="24"/>
          <w:shd w:val="clear" w:color="auto" w:fill="FFFFFF"/>
        </w:rPr>
        <w:t xml:space="preserve">Being religious is strongly associated with better overall mental health and well-being. If one is willing to be open to the facts, one has to recognize that some beliefs do indeed threaten a person’s health. Let’s consider the idea that people are, right now, refusing medical treatment for themselves and for their children because of their deeply held religious beliefs. People will refuse to get 21st century medical treatment because it is either prohibited by their faith or because doing so would demonstrate a lack of faith in God, when instead, according to their faith, they should be relying </w:t>
      </w:r>
      <w:r w:rsidRPr="000D5696">
        <w:rPr>
          <w:rFonts w:cs="Times New Roman"/>
          <w:szCs w:val="24"/>
          <w:shd w:val="clear" w:color="auto" w:fill="FFFFFF"/>
        </w:rPr>
        <w:lastRenderedPageBreak/>
        <w:t>on the Creator to answer their prayers. This idea opens up the whole libertarian can of worms of an individual’s personal rights; but when minors, when children who by the way, aren’t old enough to make informed decisions about many other choices in their lives are needlessly suffering and dying because their care was left to the rational and ethical choices of their parents, this is an obvious threat to health and raises a far more interesting question.</w:t>
      </w:r>
    </w:p>
    <w:p w14:paraId="36FD8FE7" w14:textId="77777777" w:rsidR="00EF542C" w:rsidRPr="000D5696" w:rsidRDefault="00EF542C" w:rsidP="00CE5BDB">
      <w:pPr>
        <w:rPr>
          <w:rFonts w:cs="Times New Roman"/>
          <w:szCs w:val="24"/>
        </w:rPr>
      </w:pPr>
      <w:r w:rsidRPr="000D5696">
        <w:rPr>
          <w:rFonts w:cs="Times New Roman"/>
          <w:szCs w:val="24"/>
        </w:rPr>
        <w:t xml:space="preserve">Gender norms, roles and relations, and gender inequality and inequity, affect people’s health all around the world. Gender norms are informal, often implicit rules of masculinity and femininity that guide people’s attitudes and behaviours. Their strong influence can harm the health and wellbeing of women and men, girls and boys in many ways, particularly by exposing them to different health risks, distorting the recognition of their health needs and embedding disparities in their access to health care. Gender norms can harm the health and wellbeing of women and men, girls and boys through multiple pathways. They shape differential exposure to health risks, differential acknowledgement of health needs and differential access to health care. Gender norms, however, are not static but can be negotiated, challenged and changed, and their harmful effects on health can be prevented or mitigated. Because prevalent norms about feminine and masculine behaviours regulate access to health care, they often have harmful consequences for those who do not adhere to them. Access to health services is linked to the relative ‘worth’ of girls and women versus boys and men, and to unequal access to household resources, authority and decision making. Evidence across LMICs shows that gender inequality privileges the health and wellbeing of boys and men, especially in settings characterised by a strong preference for sons. One extreme expression of this gender bias is the persistent excess mortality of girls as a result of prenatal sex selection and postnatal discrimination Although the role of gender inequality and the norms that reflect and reproduce it are often neglected, they shape boys’ and girls’ understanding of what is </w:t>
      </w:r>
      <w:r w:rsidRPr="000D5696">
        <w:rPr>
          <w:rFonts w:cs="Times New Roman"/>
          <w:szCs w:val="24"/>
        </w:rPr>
        <w:lastRenderedPageBreak/>
        <w:t xml:space="preserve">acceptable and appropriate. As such, they are clearly part of the problem and should also be addressed in both policy and programming to improve adolescent and youth health. </w:t>
      </w:r>
    </w:p>
    <w:p w14:paraId="38865A20" w14:textId="77777777" w:rsidR="00EF542C" w:rsidRPr="000D5696" w:rsidRDefault="00EF542C" w:rsidP="00CE5BDB">
      <w:pPr>
        <w:rPr>
          <w:rFonts w:cs="Times New Roman"/>
          <w:szCs w:val="24"/>
        </w:rPr>
      </w:pPr>
      <w:r w:rsidRPr="000D5696">
        <w:rPr>
          <w:rFonts w:cs="Times New Roman"/>
          <w:szCs w:val="24"/>
          <w:shd w:val="clear" w:color="auto" w:fill="FFFFFF"/>
        </w:rPr>
        <w:t>Health and well-being are not just the absence of disease or illness, it is a combination of a person’s social, mental, emotional and physical health. Positive physical health and well-being may ultimately lead to other desirable human qualities such as increased vitality, productivity, longevity, and overall flourishing. Interventions to promote any or all of the components associated with health and wellbeing of individuals have gained some attention among researchers. Subjective well-being (SWB) is an individual’s judgment about their overall well-being and includes both Affective reactions (emotional, social and psychological well-being) and Cognitive judgments (satisfaction with life and happiness).</w:t>
      </w:r>
    </w:p>
    <w:p w14:paraId="153C42DD" w14:textId="77777777" w:rsidR="00EF542C" w:rsidRPr="000D5696" w:rsidRDefault="00EF542C" w:rsidP="00CE5BDB">
      <w:pPr>
        <w:rPr>
          <w:rFonts w:cs="Times New Roman"/>
          <w:szCs w:val="24"/>
          <w:shd w:val="clear" w:color="auto" w:fill="FFFFFF"/>
        </w:rPr>
      </w:pPr>
      <w:r w:rsidRPr="000D5696">
        <w:rPr>
          <w:rFonts w:cs="Times New Roman"/>
          <w:szCs w:val="24"/>
        </w:rPr>
        <w:t>At the biological level, ageing results from the impact of the accumulation of a wide variety of molecular and cellular damage over time. This leads to a gradual decrease in physical and mental capacity, a growing risk of disease and ultimately death. These changes are neither linear nor consistent, and they are only loosely associated with a person’s age in years. The diversity seen in older age is not random. Beyond biological changes, ageing is often associated with other life transitions such as retirement, relocation to more appropriate housing and the death of friends and partners.</w:t>
      </w:r>
    </w:p>
    <w:p w14:paraId="43DDC578" w14:textId="77777777" w:rsidR="00EF542C" w:rsidRPr="000D5696" w:rsidRDefault="00EF542C" w:rsidP="00CE5BDB">
      <w:pPr>
        <w:rPr>
          <w:rFonts w:cs="Times New Roman"/>
          <w:szCs w:val="24"/>
          <w:shd w:val="clear" w:color="auto" w:fill="FFFFFF"/>
        </w:rPr>
      </w:pPr>
      <w:r w:rsidRPr="000D5696">
        <w:rPr>
          <w:rFonts w:cs="Times New Roman"/>
          <w:szCs w:val="24"/>
          <w:shd w:val="clear" w:color="auto" w:fill="FFFFFF"/>
        </w:rPr>
        <w:t xml:space="preserve">Social and economic factors, such as income, education, employment, community safety, and social supports can significantly affect how well and how long we live. These factors affect our ability to make healthy choices, afford medical care and housing, manage stress, and more. The social and economic opportunities we have, such as good schools, stable jobs, and strong social networks are foundational to achieving long and healthy lives. For example, employment provides </w:t>
      </w:r>
      <w:r w:rsidRPr="000D5696">
        <w:rPr>
          <w:rFonts w:cs="Times New Roman"/>
          <w:szCs w:val="24"/>
          <w:shd w:val="clear" w:color="auto" w:fill="FFFFFF"/>
        </w:rPr>
        <w:lastRenderedPageBreak/>
        <w:t>income that shapes choices about housing, education, child care, food, medical care, and more. In contrast, unemployment limits these choices and the ability to accumulate savings and assets that can help cushion in times of economic distress. Social and economic factors are not commonly considered when it comes to health, yet strategies to improve these factors can have an even greater impact on health over time than those traditionally associated with health improvement, such as strategies to improve health behaviors. Across the nation, there are meaningful differences in social and economic opportunities for residents in communities that have been cut off from investments or have experienced discrimination. These gaps disproportionately affect people of color especially children and youth.</w:t>
      </w:r>
    </w:p>
    <w:p w14:paraId="2DED5460" w14:textId="77777777" w:rsidR="00EF542C" w:rsidRPr="000D5696" w:rsidRDefault="00EF542C" w:rsidP="00CE5BDB">
      <w:pPr>
        <w:rPr>
          <w:rFonts w:cs="Times New Roman"/>
          <w:szCs w:val="24"/>
          <w:shd w:val="clear" w:color="auto" w:fill="FFFFFF"/>
        </w:rPr>
      </w:pPr>
      <w:r w:rsidRPr="000D5696">
        <w:rPr>
          <w:rFonts w:cs="Times New Roman"/>
          <w:szCs w:val="24"/>
          <w:shd w:val="clear" w:color="auto" w:fill="FFFFFF"/>
        </w:rPr>
        <w:t xml:space="preserve">Exercise, physical activity, and fitness are distinct but interrelated concepts (Caspersen et al. 1985). Physical activity is any bodily movement produced by skeletal muscle, while exercise is planned and repeated physical activity that is structured into individuals’ lives with the purpose of maintaining or improving some attribute of either health or skill (i.e., fitness). Exercise, therefore, is a subset of physical activity that is characterized by being patterned and purposeful, and fitness is a consequence of exercise. Exercise and fitness are of major interest because they are implicated in premature death, a wide variety of disease states, and quality of life. </w:t>
      </w:r>
      <w:r w:rsidRPr="000D5696">
        <w:rPr>
          <w:rFonts w:cs="Times New Roman"/>
          <w:szCs w:val="24"/>
        </w:rPr>
        <w:t>Regular physical activity is one of the most important things you can do for your health. Being physically active can improve your brain health, help manage weight, reduce the risk of disease, strengthen bones and muscles, and improve your ability to do everyday activities. Adults who sit less and do any amount of moderate-to-vigorous physical activity gain some health benefits. Only a few lifestyle choices have as large an impact on your health as physical activity. Everyone can experience the health benefits of physical activity – age, abilities, ethnicity, shape, or size do not matter.</w:t>
      </w:r>
    </w:p>
    <w:p w14:paraId="04CAC12B" w14:textId="77777777" w:rsidR="00EF542C" w:rsidRPr="000D5696" w:rsidRDefault="00EF542C" w:rsidP="00CE5BDB">
      <w:pPr>
        <w:rPr>
          <w:rFonts w:cs="Times New Roman"/>
          <w:szCs w:val="24"/>
          <w:shd w:val="clear" w:color="auto" w:fill="FFFFFF"/>
        </w:rPr>
      </w:pPr>
      <w:r w:rsidRPr="000D5696">
        <w:rPr>
          <w:rFonts w:cs="Times New Roman"/>
          <w:szCs w:val="24"/>
        </w:rPr>
        <w:lastRenderedPageBreak/>
        <w:t xml:space="preserve">Substance abuse refers to the harmful or hazardous use of psychoactive substances, including alcohol and illicit drugs. One of the key impacts of illicit drug use on society is the negative health consequences experienced by its members. Drug use also puts a heavy financial burden on individuals, families and society. The evolution of the complex global illicit drug problem is clearly driven by a range of factors. Sociodemographic trends are influential such as the population’s gender, age and the rate of urbanization. Cannabis remains the most widely used illicit substance in the African Region. The highest prevalence and increase in use </w:t>
      </w:r>
      <w:proofErr w:type="gramStart"/>
      <w:r w:rsidRPr="000D5696">
        <w:rPr>
          <w:rFonts w:cs="Times New Roman"/>
          <w:szCs w:val="24"/>
        </w:rPr>
        <w:t>is</w:t>
      </w:r>
      <w:proofErr w:type="gramEnd"/>
      <w:r w:rsidRPr="000D5696">
        <w:rPr>
          <w:rFonts w:cs="Times New Roman"/>
          <w:szCs w:val="24"/>
        </w:rPr>
        <w:t xml:space="preserve"> being reported in West and Central Africa with rates between 5.2% and 13.5%. </w:t>
      </w:r>
      <w:r w:rsidRPr="000D5696">
        <w:rPr>
          <w:rFonts w:cs="Times New Roman"/>
          <w:szCs w:val="24"/>
          <w:shd w:val="clear" w:color="auto" w:fill="FFFFFF"/>
        </w:rPr>
        <w:t>People with addiction often have one or more associated health issues, which could include lung or heart disease, stroke, cancer, or mental health conditions. Imaging scans, chest X-rays, and blood tests can show the damaging effects of long-term drug use throughout the body. Drug use can also increase the risk of contracting infections. HIV and hepatitis C (a serious liver disease) can occur from sharing injection equipment or from unsafe practices such as condom-less sex. Infection of the heart and its valves (endocarditis) and skin infection (cellulitis) can occur after exposure to bacteria by injection drug use.</w:t>
      </w:r>
      <w:r w:rsidRPr="000D5696">
        <w:rPr>
          <w:rFonts w:cs="Times New Roman"/>
          <w:szCs w:val="24"/>
        </w:rPr>
        <w:t xml:space="preserve"> Drug use and other mental illness often co-exist. In some cases, mental disorders such as anxiety, depression, or schizophrenia may come before addiction. In other cases, drug use may trigger or worsen those mental health conditions, particularly in people with specific vulnerabilities. Some people with disorders like anxiety or depression may use drugs in an attempt to alleviate psychiatric symptoms. This may exacerbate their mental disorder in the long run, as well as increase the risk of developing addiction. Treatment for all conditions should happen concurrently.</w:t>
      </w:r>
    </w:p>
    <w:p w14:paraId="71613D60" w14:textId="77777777" w:rsidR="00EF542C" w:rsidRPr="000D5696" w:rsidRDefault="00EF542C" w:rsidP="00CE5BDB">
      <w:pPr>
        <w:rPr>
          <w:rFonts w:cs="Times New Roman"/>
          <w:szCs w:val="24"/>
        </w:rPr>
      </w:pPr>
    </w:p>
    <w:p w14:paraId="3A7C72E7" w14:textId="0EEEBF5E" w:rsidR="00EF542C" w:rsidRPr="000D5696" w:rsidRDefault="00EF542C" w:rsidP="00CE5BDB">
      <w:pPr>
        <w:rPr>
          <w:rFonts w:cs="Times New Roman"/>
          <w:szCs w:val="24"/>
        </w:rPr>
      </w:pPr>
      <w:r w:rsidRPr="000D5696">
        <w:rPr>
          <w:rFonts w:cs="Times New Roman"/>
          <w:szCs w:val="24"/>
        </w:rPr>
        <w:lastRenderedPageBreak/>
        <w:t>Prostitution, the exchange of sex for money or drugs, has far-reaching social, psychological, and medical consequences. Prostitution is associated with a host of psychosocial vulnerabilities, including exposure to childhood physical abuse and childhood sexual abuse (CSA), interpersonal violence in adulthood, and substance use. Additionally, prostitution is often linked with sociodemographic disadvantage (</w:t>
      </w:r>
      <w:proofErr w:type="spellStart"/>
      <w:r w:rsidRPr="000D5696">
        <w:rPr>
          <w:rFonts w:cs="Times New Roman"/>
          <w:szCs w:val="24"/>
        </w:rPr>
        <w:t>eg</w:t>
      </w:r>
      <w:proofErr w:type="spellEnd"/>
      <w:r w:rsidRPr="000D5696">
        <w:rPr>
          <w:rFonts w:cs="Times New Roman"/>
          <w:szCs w:val="24"/>
        </w:rPr>
        <w:t xml:space="preserve">, minority ethnic status, low income, homelessness, low education level). Because of its complexity and multifaceted nature, prostitution poses a significant challenge to clinicians and researchers alike. Despite recognition of prostitution as a public health issue, research remains limited in generalizability and scope. Within the United States and other industrialized nations, studies have been composed largely of individuals (usually women) formally involved in the sex trade. While this work provides a rich foundation, the spectrum of prostitution also includes individuals who report infrequent trading of sex for money or drugs. </w:t>
      </w:r>
    </w:p>
    <w:p w14:paraId="43B2305D" w14:textId="51DB8260" w:rsidR="001C3E06" w:rsidRPr="000D5696" w:rsidRDefault="001C3E06" w:rsidP="001C3E06">
      <w:pPr>
        <w:rPr>
          <w:rFonts w:cs="Times New Roman"/>
          <w:szCs w:val="24"/>
        </w:rPr>
      </w:pPr>
      <w:r w:rsidRPr="000D5696">
        <w:rPr>
          <w:rFonts w:cs="Times New Roman"/>
          <w:szCs w:val="24"/>
        </w:rPr>
        <w:t xml:space="preserve">Let food be thy medicine and medicine be thy food.” Healthy diets can optimize both short- and long-term health and can help reduce risk for many health conditions. Poor nutrition is a primary contributor to morbidity globally and is associated with more than one in four deaths. A healthy diet helps to protect against malnutrition in all its forms, as well as non-communicable diseases (NCDs), including diabetes, heart disease, stroke and cancer. Healthy dietary practices start early in life breastfeeding fosters healthy growth and improves cognitive development, and may have longer term health benefits such as reducing the risk of becoming overweight or obese and developing NCDs later in life. Consuming a healthy diet throughout the life-course helps to prevent malnutrition in all its forms as well as a range of non-communicable diseases (NCDs) and conditions. However, increased production of processed foods, rapid urbanization and changing lifestyles have led to a shift in dietary patterns. People are now consuming more foods high in </w:t>
      </w:r>
      <w:r w:rsidRPr="000D5696">
        <w:rPr>
          <w:rFonts w:cs="Times New Roman"/>
          <w:szCs w:val="24"/>
        </w:rPr>
        <w:lastRenderedPageBreak/>
        <w:t xml:space="preserve">energy, fats, free sugars and salt/sodium, and many people do not eat enough fruit, vegetables and other dietary </w:t>
      </w:r>
      <w:proofErr w:type="spellStart"/>
      <w:r w:rsidRPr="000D5696">
        <w:rPr>
          <w:rFonts w:cs="Times New Roman"/>
          <w:szCs w:val="24"/>
        </w:rPr>
        <w:t>fibre</w:t>
      </w:r>
      <w:proofErr w:type="spellEnd"/>
      <w:r w:rsidRPr="000D5696">
        <w:rPr>
          <w:rFonts w:cs="Times New Roman"/>
          <w:szCs w:val="24"/>
        </w:rPr>
        <w:t xml:space="preserve"> such as whole grains.</w:t>
      </w:r>
    </w:p>
    <w:p w14:paraId="213A21B6" w14:textId="77777777" w:rsidR="006522A4" w:rsidRDefault="006522A4" w:rsidP="001C3E06">
      <w:pPr>
        <w:rPr>
          <w:rFonts w:cs="Times New Roman"/>
          <w:b/>
          <w:szCs w:val="24"/>
        </w:rPr>
      </w:pPr>
    </w:p>
    <w:p w14:paraId="0AF8905B" w14:textId="77777777" w:rsidR="006522A4" w:rsidRDefault="006522A4" w:rsidP="001C3E06">
      <w:pPr>
        <w:rPr>
          <w:rFonts w:cs="Times New Roman"/>
          <w:b/>
          <w:szCs w:val="24"/>
        </w:rPr>
      </w:pPr>
    </w:p>
    <w:p w14:paraId="6BCD28FE" w14:textId="77777777" w:rsidR="006522A4" w:rsidRDefault="006522A4" w:rsidP="001C3E06">
      <w:pPr>
        <w:rPr>
          <w:rFonts w:cs="Times New Roman"/>
          <w:b/>
          <w:szCs w:val="24"/>
        </w:rPr>
      </w:pPr>
    </w:p>
    <w:p w14:paraId="7F8681A8" w14:textId="77777777" w:rsidR="006522A4" w:rsidRDefault="006522A4" w:rsidP="001C3E06">
      <w:pPr>
        <w:rPr>
          <w:rFonts w:cs="Times New Roman"/>
          <w:b/>
          <w:szCs w:val="24"/>
        </w:rPr>
      </w:pPr>
    </w:p>
    <w:p w14:paraId="4DC2A568" w14:textId="77777777" w:rsidR="006522A4" w:rsidRDefault="006522A4" w:rsidP="001C3E06">
      <w:pPr>
        <w:rPr>
          <w:rFonts w:cs="Times New Roman"/>
          <w:b/>
          <w:szCs w:val="24"/>
        </w:rPr>
      </w:pPr>
    </w:p>
    <w:p w14:paraId="26EB83D0" w14:textId="6628FEC4" w:rsidR="001C3E06" w:rsidRPr="006522A4" w:rsidRDefault="006522A4" w:rsidP="001C3E06">
      <w:pPr>
        <w:rPr>
          <w:rFonts w:cs="Times New Roman"/>
          <w:b/>
          <w:szCs w:val="24"/>
        </w:rPr>
      </w:pPr>
      <w:r w:rsidRPr="006522A4">
        <w:rPr>
          <w:rFonts w:cs="Times New Roman"/>
          <w:b/>
          <w:szCs w:val="24"/>
        </w:rPr>
        <w:t>REFERENCES:</w:t>
      </w:r>
    </w:p>
    <w:p w14:paraId="6D629E6A"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Alubo</w:t>
      </w:r>
      <w:proofErr w:type="spellEnd"/>
      <w:r w:rsidRPr="00FB756F">
        <w:rPr>
          <w:rFonts w:ascii="Cambria" w:eastAsia="Times New Roman" w:hAnsi="Cambria" w:cs="Times New Roman"/>
          <w:color w:val="1B1B1B"/>
          <w:szCs w:val="24"/>
          <w:lang w:eastAsia="en-US"/>
        </w:rPr>
        <w:t xml:space="preserve"> O. Ontological response to illness. Jos Journal of Social Issues. </w:t>
      </w:r>
      <w:proofErr w:type="gramStart"/>
      <w:r w:rsidRPr="00FB756F">
        <w:rPr>
          <w:rFonts w:ascii="Cambria" w:eastAsia="Times New Roman" w:hAnsi="Cambria" w:cs="Times New Roman"/>
          <w:color w:val="1B1B1B"/>
          <w:szCs w:val="24"/>
          <w:lang w:eastAsia="en-US"/>
        </w:rPr>
        <w:t>2008;6:1</w:t>
      </w:r>
      <w:proofErr w:type="gramEnd"/>
      <w:r w:rsidRPr="00FB756F">
        <w:rPr>
          <w:rFonts w:ascii="Cambria" w:eastAsia="Times New Roman" w:hAnsi="Cambria" w:cs="Times New Roman"/>
          <w:color w:val="1B1B1B"/>
          <w:szCs w:val="24"/>
          <w:lang w:eastAsia="en-US"/>
        </w:rPr>
        <w:t>–16. [</w:t>
      </w:r>
      <w:hyperlink r:id="rId6"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7B644902"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Barbour R. S. </w:t>
      </w:r>
      <w:r w:rsidRPr="00FB756F">
        <w:rPr>
          <w:rFonts w:eastAsia="Times New Roman" w:cs="Times New Roman"/>
          <w:color w:val="1B1B1B"/>
          <w:szCs w:val="24"/>
          <w:lang w:eastAsia="en-US"/>
        </w:rPr>
        <w:t>The</w:t>
      </w:r>
      <w:r w:rsidRPr="00FB756F">
        <w:rPr>
          <w:rFonts w:ascii="Cambria" w:eastAsia="Times New Roman" w:hAnsi="Cambria" w:cs="Times New Roman"/>
          <w:color w:val="1B1B1B"/>
          <w:szCs w:val="24"/>
          <w:lang w:eastAsia="en-US"/>
        </w:rPr>
        <w:t xml:space="preserve"> biographical turn and the ‘</w:t>
      </w:r>
      <w:proofErr w:type="spellStart"/>
      <w:r w:rsidRPr="00FB756F">
        <w:rPr>
          <w:rFonts w:ascii="Cambria" w:eastAsia="Times New Roman" w:hAnsi="Cambria" w:cs="Times New Roman"/>
          <w:color w:val="1B1B1B"/>
          <w:szCs w:val="24"/>
          <w:lang w:eastAsia="en-US"/>
        </w:rPr>
        <w:t>sociolization</w:t>
      </w:r>
      <w:proofErr w:type="spellEnd"/>
      <w:r w:rsidRPr="00FB756F">
        <w:rPr>
          <w:rFonts w:ascii="Cambria" w:eastAsia="Times New Roman" w:hAnsi="Cambria" w:cs="Times New Roman"/>
          <w:color w:val="1B1B1B"/>
          <w:szCs w:val="24"/>
          <w:lang w:eastAsia="en-US"/>
        </w:rPr>
        <w:t>’ of medicine. Medical Sociology Online. 2011;6(1):15–25. [</w:t>
      </w:r>
      <w:hyperlink r:id="rId7"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5151BF59"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Blackwell, E. (1902). </w:t>
      </w:r>
      <w:r w:rsidRPr="00FB756F">
        <w:rPr>
          <w:rFonts w:ascii="Cambria" w:eastAsia="Times New Roman" w:hAnsi="Cambria" w:cs="Times New Roman"/>
          <w:i/>
          <w:iCs/>
          <w:color w:val="1B1B1B"/>
          <w:szCs w:val="24"/>
          <w:lang w:eastAsia="en-US"/>
        </w:rPr>
        <w:t>Essays in medical sociology</w:t>
      </w:r>
      <w:r w:rsidRPr="00FB756F">
        <w:rPr>
          <w:rFonts w:ascii="Cambria" w:eastAsia="Times New Roman" w:hAnsi="Cambria" w:cs="Times New Roman"/>
          <w:color w:val="1B1B1B"/>
          <w:szCs w:val="24"/>
          <w:lang w:eastAsia="en-US"/>
        </w:rPr>
        <w:t>. London, England: Ernest Bell.</w:t>
      </w:r>
    </w:p>
    <w:p w14:paraId="48268948"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Bloom, S. W. (2002). </w:t>
      </w:r>
      <w:r w:rsidRPr="00FB756F">
        <w:rPr>
          <w:rFonts w:ascii="Cambria" w:eastAsia="Times New Roman" w:hAnsi="Cambria" w:cs="Times New Roman"/>
          <w:i/>
          <w:iCs/>
          <w:color w:val="1B1B1B"/>
          <w:szCs w:val="24"/>
          <w:lang w:eastAsia="en-US"/>
        </w:rPr>
        <w:t>The word as scalpel: A history of medical sociology</w:t>
      </w:r>
      <w:r w:rsidRPr="00FB756F">
        <w:rPr>
          <w:rFonts w:ascii="Cambria" w:eastAsia="Times New Roman" w:hAnsi="Cambria" w:cs="Times New Roman"/>
          <w:color w:val="1B1B1B"/>
          <w:szCs w:val="24"/>
          <w:lang w:eastAsia="en-US"/>
        </w:rPr>
        <w:t>. Oxford: Oxford University Press.</w:t>
      </w:r>
    </w:p>
    <w:p w14:paraId="3D9A1CEA"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Comte, A. (1896). </w:t>
      </w:r>
      <w:r w:rsidRPr="00FB756F">
        <w:rPr>
          <w:rFonts w:ascii="Cambria" w:eastAsia="Times New Roman" w:hAnsi="Cambria" w:cs="Times New Roman"/>
          <w:i/>
          <w:iCs/>
          <w:color w:val="1B1B1B"/>
          <w:szCs w:val="24"/>
          <w:lang w:eastAsia="en-US"/>
        </w:rPr>
        <w:t>The positive philosophy</w:t>
      </w:r>
      <w:r w:rsidRPr="00FB756F">
        <w:rPr>
          <w:rFonts w:ascii="Cambria" w:eastAsia="Times New Roman" w:hAnsi="Cambria" w:cs="Times New Roman"/>
          <w:color w:val="1B1B1B"/>
          <w:szCs w:val="24"/>
          <w:lang w:eastAsia="en-US"/>
        </w:rPr>
        <w:t>. Vol II &amp; III, Trans Version by Harriet Martineau. London: George Bell &amp; Sons.</w:t>
      </w:r>
    </w:p>
    <w:p w14:paraId="5C540516"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Conrad P. Health. </w:t>
      </w:r>
      <w:proofErr w:type="gramStart"/>
      <w:r w:rsidRPr="00FB756F">
        <w:rPr>
          <w:rFonts w:ascii="Cambria" w:eastAsia="Times New Roman" w:hAnsi="Cambria" w:cs="Times New Roman"/>
          <w:color w:val="1B1B1B"/>
          <w:szCs w:val="24"/>
          <w:lang w:eastAsia="en-US"/>
        </w:rPr>
        <w:t>2007;11:141</w:t>
      </w:r>
      <w:proofErr w:type="gramEnd"/>
      <w:r w:rsidRPr="00FB756F">
        <w:rPr>
          <w:rFonts w:ascii="Cambria" w:eastAsia="Times New Roman" w:hAnsi="Cambria" w:cs="Times New Roman"/>
          <w:color w:val="1B1B1B"/>
          <w:szCs w:val="24"/>
          <w:lang w:eastAsia="en-US"/>
        </w:rPr>
        <w:t xml:space="preserve">–144.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10.1177/1363459307074688. [</w:t>
      </w:r>
      <w:hyperlink r:id="rId8"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9"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10"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1E541328"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Coockerham</w:t>
      </w:r>
      <w:proofErr w:type="spellEnd"/>
      <w:r w:rsidRPr="00FB756F">
        <w:rPr>
          <w:rFonts w:ascii="Cambria" w:eastAsia="Times New Roman" w:hAnsi="Cambria" w:cs="Times New Roman"/>
          <w:color w:val="1B1B1B"/>
          <w:szCs w:val="24"/>
          <w:lang w:eastAsia="en-US"/>
        </w:rPr>
        <w:t xml:space="preserve">, W. C. (2001). Medical sociology and sociological theory. In W. C. </w:t>
      </w:r>
      <w:proofErr w:type="spellStart"/>
      <w:r w:rsidRPr="00FB756F">
        <w:rPr>
          <w:rFonts w:ascii="Cambria" w:eastAsia="Times New Roman" w:hAnsi="Cambria" w:cs="Times New Roman"/>
          <w:color w:val="1B1B1B"/>
          <w:szCs w:val="24"/>
          <w:lang w:eastAsia="en-US"/>
        </w:rPr>
        <w:t>Coockerham</w:t>
      </w:r>
      <w:proofErr w:type="spellEnd"/>
      <w:r w:rsidRPr="00FB756F">
        <w:rPr>
          <w:rFonts w:ascii="Cambria" w:eastAsia="Times New Roman" w:hAnsi="Cambria" w:cs="Times New Roman"/>
          <w:color w:val="1B1B1B"/>
          <w:szCs w:val="24"/>
          <w:lang w:eastAsia="en-US"/>
        </w:rPr>
        <w:t xml:space="preserve"> (Ed.), </w:t>
      </w:r>
      <w:r w:rsidRPr="00FB756F">
        <w:rPr>
          <w:rFonts w:ascii="Cambria" w:eastAsia="Times New Roman" w:hAnsi="Cambria" w:cs="Times New Roman"/>
          <w:i/>
          <w:iCs/>
          <w:color w:val="1B1B1B"/>
          <w:szCs w:val="24"/>
          <w:lang w:eastAsia="en-US"/>
        </w:rPr>
        <w:t xml:space="preserve">The </w:t>
      </w:r>
      <w:proofErr w:type="spellStart"/>
      <w:r w:rsidRPr="00FB756F">
        <w:rPr>
          <w:rFonts w:ascii="Cambria" w:eastAsia="Times New Roman" w:hAnsi="Cambria" w:cs="Times New Roman"/>
          <w:i/>
          <w:iCs/>
          <w:color w:val="1B1B1B"/>
          <w:szCs w:val="24"/>
          <w:lang w:eastAsia="en-US"/>
        </w:rPr>
        <w:t>blackwell</w:t>
      </w:r>
      <w:proofErr w:type="spellEnd"/>
      <w:r w:rsidRPr="00FB756F">
        <w:rPr>
          <w:rFonts w:ascii="Cambria" w:eastAsia="Times New Roman" w:hAnsi="Cambria" w:cs="Times New Roman"/>
          <w:i/>
          <w:iCs/>
          <w:color w:val="1B1B1B"/>
          <w:szCs w:val="24"/>
          <w:lang w:eastAsia="en-US"/>
        </w:rPr>
        <w:t xml:space="preserve"> companion of medical sociology</w:t>
      </w:r>
      <w:r w:rsidRPr="00FB756F">
        <w:rPr>
          <w:rFonts w:ascii="Cambria" w:eastAsia="Times New Roman" w:hAnsi="Cambria" w:cs="Times New Roman"/>
          <w:color w:val="1B1B1B"/>
          <w:szCs w:val="24"/>
          <w:lang w:eastAsia="en-US"/>
        </w:rPr>
        <w:t> (pp. 3–22). Massachusetts: Blackwell Publishers Ltd.</w:t>
      </w:r>
    </w:p>
    <w:p w14:paraId="1A6FAA2B"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Coser</w:t>
      </w:r>
      <w:proofErr w:type="spellEnd"/>
      <w:r w:rsidRPr="00FB756F">
        <w:rPr>
          <w:rFonts w:ascii="Cambria" w:eastAsia="Times New Roman" w:hAnsi="Cambria" w:cs="Times New Roman"/>
          <w:color w:val="1B1B1B"/>
          <w:szCs w:val="24"/>
          <w:lang w:eastAsia="en-US"/>
        </w:rPr>
        <w:t>, L. A. (2004). </w:t>
      </w:r>
      <w:r w:rsidRPr="00FB756F">
        <w:rPr>
          <w:rFonts w:ascii="Cambria" w:eastAsia="Times New Roman" w:hAnsi="Cambria" w:cs="Times New Roman"/>
          <w:i/>
          <w:iCs/>
          <w:color w:val="1B1B1B"/>
          <w:szCs w:val="24"/>
          <w:lang w:eastAsia="en-US"/>
        </w:rPr>
        <w:t>Masters of sociological thought: Ideas in historical and social context</w:t>
      </w:r>
      <w:r w:rsidRPr="00FB756F">
        <w:rPr>
          <w:rFonts w:ascii="Cambria" w:eastAsia="Times New Roman" w:hAnsi="Cambria" w:cs="Times New Roman"/>
          <w:color w:val="1B1B1B"/>
          <w:szCs w:val="24"/>
          <w:lang w:eastAsia="en-US"/>
        </w:rPr>
        <w:t xml:space="preserve">. 2nd </w:t>
      </w:r>
      <w:proofErr w:type="spellStart"/>
      <w:r w:rsidRPr="00FB756F">
        <w:rPr>
          <w:rFonts w:ascii="Cambria" w:eastAsia="Times New Roman" w:hAnsi="Cambria" w:cs="Times New Roman"/>
          <w:color w:val="1B1B1B"/>
          <w:szCs w:val="24"/>
          <w:lang w:eastAsia="en-US"/>
        </w:rPr>
        <w:t>edn</w:t>
      </w:r>
      <w:proofErr w:type="spellEnd"/>
      <w:r w:rsidRPr="00FB756F">
        <w:rPr>
          <w:rFonts w:ascii="Cambria" w:eastAsia="Times New Roman" w:hAnsi="Cambria" w:cs="Times New Roman"/>
          <w:color w:val="1B1B1B"/>
          <w:szCs w:val="24"/>
          <w:lang w:eastAsia="en-US"/>
        </w:rPr>
        <w:t>. New Delhi: Rawat Publication.</w:t>
      </w:r>
    </w:p>
    <w:p w14:paraId="48DFF5C8"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lastRenderedPageBreak/>
        <w:t xml:space="preserve">De Vries R. Journal of Law, Medicine &amp; Ethics. </w:t>
      </w:r>
      <w:proofErr w:type="gramStart"/>
      <w:r w:rsidRPr="00FB756F">
        <w:rPr>
          <w:rFonts w:ascii="Cambria" w:eastAsia="Times New Roman" w:hAnsi="Cambria" w:cs="Times New Roman"/>
          <w:color w:val="1B1B1B"/>
          <w:szCs w:val="24"/>
          <w:lang w:eastAsia="en-US"/>
        </w:rPr>
        <w:t>2003;32:279</w:t>
      </w:r>
      <w:proofErr w:type="gramEnd"/>
      <w:r w:rsidRPr="00FB756F">
        <w:rPr>
          <w:rFonts w:ascii="Cambria" w:eastAsia="Times New Roman" w:hAnsi="Cambria" w:cs="Times New Roman"/>
          <w:color w:val="1B1B1B"/>
          <w:szCs w:val="24"/>
          <w:lang w:eastAsia="en-US"/>
        </w:rPr>
        <w:t xml:space="preserve">–292.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10.1111/j.1748-720X.2004.tb00475.x. [</w:t>
      </w:r>
      <w:hyperlink r:id="rId11"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12"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13"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52E4E268"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Durkheim E. Suicide: A study in sociology. NY: The Free Press; 1951. [</w:t>
      </w:r>
      <w:hyperlink r:id="rId14"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31CE8713"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Erinosho</w:t>
      </w:r>
      <w:proofErr w:type="spellEnd"/>
      <w:r w:rsidRPr="00FB756F">
        <w:rPr>
          <w:rFonts w:ascii="Cambria" w:eastAsia="Times New Roman" w:hAnsi="Cambria" w:cs="Times New Roman"/>
          <w:color w:val="1B1B1B"/>
          <w:szCs w:val="24"/>
          <w:lang w:eastAsia="en-US"/>
        </w:rPr>
        <w:t>, O. (2006). </w:t>
      </w:r>
      <w:r w:rsidRPr="00FB756F">
        <w:rPr>
          <w:rFonts w:ascii="Cambria" w:eastAsia="Times New Roman" w:hAnsi="Cambria" w:cs="Times New Roman"/>
          <w:i/>
          <w:iCs/>
          <w:color w:val="1B1B1B"/>
          <w:szCs w:val="24"/>
          <w:lang w:eastAsia="en-US"/>
        </w:rPr>
        <w:t>Health sociology for universities, colleges and health related institutions</w:t>
      </w:r>
      <w:r w:rsidRPr="00FB756F">
        <w:rPr>
          <w:rFonts w:ascii="Cambria" w:eastAsia="Times New Roman" w:hAnsi="Cambria" w:cs="Times New Roman"/>
          <w:color w:val="1B1B1B"/>
          <w:szCs w:val="24"/>
          <w:lang w:eastAsia="en-US"/>
        </w:rPr>
        <w:t>. Ibadan: Sam Bookman.</w:t>
      </w:r>
    </w:p>
    <w:p w14:paraId="5B20AED4"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Feyisetan</w:t>
      </w:r>
      <w:proofErr w:type="spellEnd"/>
      <w:r w:rsidRPr="00FB756F">
        <w:rPr>
          <w:rFonts w:ascii="Cambria" w:eastAsia="Times New Roman" w:hAnsi="Cambria" w:cs="Times New Roman"/>
          <w:color w:val="1B1B1B"/>
          <w:szCs w:val="24"/>
          <w:lang w:eastAsia="en-US"/>
        </w:rPr>
        <w:t xml:space="preserve"> B. J, Asa S., </w:t>
      </w:r>
      <w:proofErr w:type="spellStart"/>
      <w:r w:rsidRPr="00FB756F">
        <w:rPr>
          <w:rFonts w:ascii="Cambria" w:eastAsia="Times New Roman" w:hAnsi="Cambria" w:cs="Times New Roman"/>
          <w:color w:val="1B1B1B"/>
          <w:szCs w:val="24"/>
          <w:lang w:eastAsia="en-US"/>
        </w:rPr>
        <w:t>Ebigbola</w:t>
      </w:r>
      <w:proofErr w:type="spellEnd"/>
      <w:r w:rsidRPr="00FB756F">
        <w:rPr>
          <w:rFonts w:ascii="Cambria" w:eastAsia="Times New Roman" w:hAnsi="Cambria" w:cs="Times New Roman"/>
          <w:color w:val="1B1B1B"/>
          <w:szCs w:val="24"/>
          <w:lang w:eastAsia="en-US"/>
        </w:rPr>
        <w:t xml:space="preserve"> J. A. Health Transition Review. </w:t>
      </w:r>
      <w:proofErr w:type="gramStart"/>
      <w:r w:rsidRPr="00FB756F">
        <w:rPr>
          <w:rFonts w:ascii="Cambria" w:eastAsia="Times New Roman" w:hAnsi="Cambria" w:cs="Times New Roman"/>
          <w:color w:val="1B1B1B"/>
          <w:szCs w:val="24"/>
          <w:lang w:eastAsia="en-US"/>
        </w:rPr>
        <w:t>1997;7:221</w:t>
      </w:r>
      <w:proofErr w:type="gramEnd"/>
      <w:r w:rsidRPr="00FB756F">
        <w:rPr>
          <w:rFonts w:ascii="Cambria" w:eastAsia="Times New Roman" w:hAnsi="Cambria" w:cs="Times New Roman"/>
          <w:color w:val="1B1B1B"/>
          <w:szCs w:val="24"/>
          <w:lang w:eastAsia="en-US"/>
        </w:rPr>
        <w:t>–234. [</w:t>
      </w:r>
      <w:hyperlink r:id="rId15"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16"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0FDFED6F"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Feyisetan</w:t>
      </w:r>
      <w:proofErr w:type="spellEnd"/>
      <w:r w:rsidRPr="00FB756F">
        <w:rPr>
          <w:rFonts w:ascii="Cambria" w:eastAsia="Times New Roman" w:hAnsi="Cambria" w:cs="Times New Roman"/>
          <w:color w:val="1B1B1B"/>
          <w:szCs w:val="24"/>
          <w:lang w:eastAsia="en-US"/>
        </w:rPr>
        <w:t xml:space="preserve"> B. J, </w:t>
      </w:r>
      <w:proofErr w:type="spellStart"/>
      <w:r w:rsidRPr="00FB756F">
        <w:rPr>
          <w:rFonts w:ascii="Cambria" w:eastAsia="Times New Roman" w:hAnsi="Cambria" w:cs="Times New Roman"/>
          <w:color w:val="1B1B1B"/>
          <w:szCs w:val="24"/>
          <w:lang w:eastAsia="en-US"/>
        </w:rPr>
        <w:t>Adeokun</w:t>
      </w:r>
      <w:proofErr w:type="spellEnd"/>
      <w:r w:rsidRPr="00FB756F">
        <w:rPr>
          <w:rFonts w:ascii="Cambria" w:eastAsia="Times New Roman" w:hAnsi="Cambria" w:cs="Times New Roman"/>
          <w:color w:val="1B1B1B"/>
          <w:szCs w:val="24"/>
          <w:lang w:eastAsia="en-US"/>
        </w:rPr>
        <w:t xml:space="preserve"> L. Mortality and society in Sub-Saharan Africa. Oxford: Clarendon Press; 1992. pp. 145–159. [</w:t>
      </w:r>
      <w:hyperlink r:id="rId17"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1CA47CD0"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Freidson</w:t>
      </w:r>
      <w:proofErr w:type="spellEnd"/>
      <w:r w:rsidRPr="00FB756F">
        <w:rPr>
          <w:rFonts w:ascii="Cambria" w:eastAsia="Times New Roman" w:hAnsi="Cambria" w:cs="Times New Roman"/>
          <w:color w:val="1B1B1B"/>
          <w:szCs w:val="24"/>
          <w:lang w:eastAsia="en-US"/>
        </w:rPr>
        <w:t xml:space="preserve"> E. Current Sociology. 1961a;10–11:123–140. [</w:t>
      </w:r>
      <w:hyperlink r:id="rId18"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6D5507F5"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Freidson</w:t>
      </w:r>
      <w:proofErr w:type="spellEnd"/>
      <w:r w:rsidRPr="00FB756F">
        <w:rPr>
          <w:rFonts w:ascii="Cambria" w:eastAsia="Times New Roman" w:hAnsi="Cambria" w:cs="Times New Roman"/>
          <w:color w:val="1B1B1B"/>
          <w:szCs w:val="24"/>
          <w:lang w:eastAsia="en-US"/>
        </w:rPr>
        <w:t xml:space="preserve"> E. Patients’ views of medical practice. NY: Russel Sage Foundations; 1961b. [</w:t>
      </w:r>
      <w:hyperlink r:id="rId19"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721F3E62"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Freidson</w:t>
      </w:r>
      <w:proofErr w:type="spellEnd"/>
      <w:r w:rsidRPr="00FB756F">
        <w:rPr>
          <w:rFonts w:ascii="Cambria" w:eastAsia="Times New Roman" w:hAnsi="Cambria" w:cs="Times New Roman"/>
          <w:color w:val="1B1B1B"/>
          <w:szCs w:val="24"/>
          <w:lang w:eastAsia="en-US"/>
        </w:rPr>
        <w:t xml:space="preserve"> E. Profession of medicine: A study of the sociology of applied knowledge. NY: Dodd, Mead; 1970a. [</w:t>
      </w:r>
      <w:hyperlink r:id="rId20"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33A92386"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Freidson</w:t>
      </w:r>
      <w:proofErr w:type="spellEnd"/>
      <w:r w:rsidRPr="00FB756F">
        <w:rPr>
          <w:rFonts w:ascii="Cambria" w:eastAsia="Times New Roman" w:hAnsi="Cambria" w:cs="Times New Roman"/>
          <w:color w:val="1B1B1B"/>
          <w:szCs w:val="24"/>
          <w:lang w:eastAsia="en-US"/>
        </w:rPr>
        <w:t xml:space="preserve"> E. Professional dominance: The social structure of medical care. Chicago: Atherton; 1970b. [</w:t>
      </w:r>
      <w:hyperlink r:id="rId21"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7AC49123"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Freidson</w:t>
      </w:r>
      <w:proofErr w:type="spellEnd"/>
      <w:r w:rsidRPr="00FB756F">
        <w:rPr>
          <w:rFonts w:ascii="Cambria" w:eastAsia="Times New Roman" w:hAnsi="Cambria" w:cs="Times New Roman"/>
          <w:color w:val="1B1B1B"/>
          <w:szCs w:val="24"/>
          <w:lang w:eastAsia="en-US"/>
        </w:rPr>
        <w:t xml:space="preserve"> E. Doctoring together: A study of professional social control. New York: Elsevier; 1975. [</w:t>
      </w:r>
      <w:hyperlink r:id="rId22"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6200D42A"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Gilbert, L. (2012). The report on sociology of health in Africa. </w:t>
      </w:r>
      <w:r w:rsidRPr="00FB756F">
        <w:rPr>
          <w:rFonts w:ascii="Cambria" w:eastAsia="Times New Roman" w:hAnsi="Cambria" w:cs="Times New Roman"/>
          <w:i/>
          <w:iCs/>
          <w:color w:val="1B1B1B"/>
          <w:szCs w:val="24"/>
          <w:lang w:eastAsia="en-US"/>
        </w:rPr>
        <w:t>Newsletter of the Research Committee on Sociology of Health,55,</w:t>
      </w:r>
      <w:r w:rsidRPr="00FB756F">
        <w:rPr>
          <w:rFonts w:ascii="Cambria" w:eastAsia="Times New Roman" w:hAnsi="Cambria" w:cs="Times New Roman"/>
          <w:color w:val="1B1B1B"/>
          <w:szCs w:val="24"/>
          <w:lang w:eastAsia="en-US"/>
        </w:rPr>
        <w:t> 5–6.</w:t>
      </w:r>
    </w:p>
    <w:p w14:paraId="54D83130"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Glaser B. G, Strauss A. L. Awareness of dying. Chicago: Aldine; 1965. [</w:t>
      </w:r>
      <w:hyperlink r:id="rId23"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04E3E7CA"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Glaser B. G, Strauss A. L. The time for death. Chicago: Aldine; 1968. [</w:t>
      </w:r>
      <w:hyperlink r:id="rId24"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363FF2B2"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Goffman, E. (1961). </w:t>
      </w:r>
      <w:r w:rsidRPr="00FB756F">
        <w:rPr>
          <w:rFonts w:ascii="Cambria" w:eastAsia="Times New Roman" w:hAnsi="Cambria" w:cs="Times New Roman"/>
          <w:i/>
          <w:iCs/>
          <w:color w:val="1B1B1B"/>
          <w:szCs w:val="24"/>
          <w:lang w:eastAsia="en-US"/>
        </w:rPr>
        <w:t>Asylum: Essays on the social situation of mental patients and other inmates</w:t>
      </w:r>
      <w:r w:rsidRPr="00FB756F">
        <w:rPr>
          <w:rFonts w:ascii="Cambria" w:eastAsia="Times New Roman" w:hAnsi="Cambria" w:cs="Times New Roman"/>
          <w:color w:val="1B1B1B"/>
          <w:szCs w:val="24"/>
          <w:lang w:eastAsia="en-US"/>
        </w:rPr>
        <w:t>. Garden City: Anchor.</w:t>
      </w:r>
    </w:p>
    <w:p w14:paraId="4E4E66FD"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Goffman, E. (1963). </w:t>
      </w:r>
      <w:r w:rsidRPr="00FB756F">
        <w:rPr>
          <w:rFonts w:ascii="Cambria" w:eastAsia="Times New Roman" w:hAnsi="Cambria" w:cs="Times New Roman"/>
          <w:i/>
          <w:iCs/>
          <w:color w:val="1B1B1B"/>
          <w:szCs w:val="24"/>
          <w:lang w:eastAsia="en-US"/>
        </w:rPr>
        <w:t>Stigma: Notes on the management of spoiled identity</w:t>
      </w:r>
      <w:r w:rsidRPr="00FB756F">
        <w:rPr>
          <w:rFonts w:ascii="Cambria" w:eastAsia="Times New Roman" w:hAnsi="Cambria" w:cs="Times New Roman"/>
          <w:color w:val="1B1B1B"/>
          <w:szCs w:val="24"/>
          <w:lang w:eastAsia="en-US"/>
        </w:rPr>
        <w:t>. London: Penguin Books.</w:t>
      </w:r>
    </w:p>
    <w:p w14:paraId="30D1C6F6"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Hafferty</w:t>
      </w:r>
      <w:proofErr w:type="spellEnd"/>
      <w:r w:rsidRPr="00FB756F">
        <w:rPr>
          <w:rFonts w:ascii="Cambria" w:eastAsia="Times New Roman" w:hAnsi="Cambria" w:cs="Times New Roman"/>
          <w:color w:val="1B1B1B"/>
          <w:szCs w:val="24"/>
          <w:lang w:eastAsia="en-US"/>
        </w:rPr>
        <w:t>, F. W., &amp; Castellani, B. (2006). Medical sociology. In Clifton D. Bryant &amp; Dennis L. Peck (Eds.), </w:t>
      </w:r>
      <w:r w:rsidRPr="00FB756F">
        <w:rPr>
          <w:rFonts w:ascii="Cambria" w:eastAsia="Times New Roman" w:hAnsi="Cambria" w:cs="Times New Roman"/>
          <w:i/>
          <w:iCs/>
          <w:color w:val="1B1B1B"/>
          <w:szCs w:val="24"/>
          <w:lang w:eastAsia="en-US"/>
        </w:rPr>
        <w:t>21st century sociology: A reference handbook</w:t>
      </w:r>
      <w:r w:rsidRPr="00FB756F">
        <w:rPr>
          <w:rFonts w:ascii="Cambria" w:eastAsia="Times New Roman" w:hAnsi="Cambria" w:cs="Times New Roman"/>
          <w:color w:val="1B1B1B"/>
          <w:szCs w:val="24"/>
          <w:lang w:eastAsia="en-US"/>
        </w:rPr>
        <w:t xml:space="preserve"> (pp. 331–338). </w:t>
      </w:r>
      <w:proofErr w:type="spellStart"/>
      <w:r w:rsidRPr="00FB756F">
        <w:rPr>
          <w:rFonts w:ascii="Cambria" w:eastAsia="Times New Roman" w:hAnsi="Cambria" w:cs="Times New Roman"/>
          <w:color w:val="1B1B1B"/>
          <w:szCs w:val="24"/>
          <w:lang w:eastAsia="en-US"/>
        </w:rPr>
        <w:t>Califonia</w:t>
      </w:r>
      <w:proofErr w:type="spellEnd"/>
      <w:r w:rsidRPr="00FB756F">
        <w:rPr>
          <w:rFonts w:ascii="Cambria" w:eastAsia="Times New Roman" w:hAnsi="Cambria" w:cs="Times New Roman"/>
          <w:color w:val="1B1B1B"/>
          <w:szCs w:val="24"/>
          <w:lang w:eastAsia="en-US"/>
        </w:rPr>
        <w:t>: Sage Publications.</w:t>
      </w:r>
    </w:p>
    <w:p w14:paraId="7ACA970B"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Harris, S. R. (2013). Studying the construction of social problems. In J. Best &amp; S. R. Harris (Eds.), </w:t>
      </w:r>
      <w:r w:rsidRPr="00FB756F">
        <w:rPr>
          <w:rFonts w:ascii="Cambria" w:eastAsia="Times New Roman" w:hAnsi="Cambria" w:cs="Times New Roman"/>
          <w:i/>
          <w:iCs/>
          <w:color w:val="1B1B1B"/>
          <w:szCs w:val="24"/>
          <w:lang w:eastAsia="en-US"/>
        </w:rPr>
        <w:t>Making sense of social problems: New images, new issues</w:t>
      </w:r>
      <w:r w:rsidRPr="00FB756F">
        <w:rPr>
          <w:rFonts w:ascii="Cambria" w:eastAsia="Times New Roman" w:hAnsi="Cambria" w:cs="Times New Roman"/>
          <w:color w:val="1B1B1B"/>
          <w:szCs w:val="24"/>
          <w:lang w:eastAsia="en-US"/>
        </w:rPr>
        <w:t xml:space="preserve"> (pp. 1–10). Boulder: Lynne </w:t>
      </w:r>
      <w:proofErr w:type="spellStart"/>
      <w:r w:rsidRPr="00FB756F">
        <w:rPr>
          <w:rFonts w:ascii="Cambria" w:eastAsia="Times New Roman" w:hAnsi="Cambria" w:cs="Times New Roman"/>
          <w:color w:val="1B1B1B"/>
          <w:szCs w:val="24"/>
          <w:lang w:eastAsia="en-US"/>
        </w:rPr>
        <w:t>Rienner</w:t>
      </w:r>
      <w:proofErr w:type="spellEnd"/>
      <w:r w:rsidRPr="00FB756F">
        <w:rPr>
          <w:rFonts w:ascii="Cambria" w:eastAsia="Times New Roman" w:hAnsi="Cambria" w:cs="Times New Roman"/>
          <w:color w:val="1B1B1B"/>
          <w:szCs w:val="24"/>
          <w:lang w:eastAsia="en-US"/>
        </w:rPr>
        <w:t xml:space="preserve"> Publishers.</w:t>
      </w:r>
    </w:p>
    <w:p w14:paraId="49116C5E"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lastRenderedPageBreak/>
        <w:t>Holtz, T. H., Holmes, S., Stonington, S., &amp; Eisenberg, L. (2006). Health is still social: Contemporary examples in the age of the genome. </w:t>
      </w:r>
      <w:proofErr w:type="spellStart"/>
      <w:r w:rsidRPr="00FB756F">
        <w:rPr>
          <w:rFonts w:ascii="Cambria" w:eastAsia="Times New Roman" w:hAnsi="Cambria" w:cs="Times New Roman"/>
          <w:i/>
          <w:iCs/>
          <w:color w:val="1B1B1B"/>
          <w:szCs w:val="24"/>
          <w:lang w:eastAsia="en-US"/>
        </w:rPr>
        <w:t>PLoS</w:t>
      </w:r>
      <w:proofErr w:type="spellEnd"/>
      <w:r w:rsidRPr="00FB756F">
        <w:rPr>
          <w:rFonts w:ascii="Cambria" w:eastAsia="Times New Roman" w:hAnsi="Cambria" w:cs="Times New Roman"/>
          <w:i/>
          <w:iCs/>
          <w:color w:val="1B1B1B"/>
          <w:szCs w:val="24"/>
          <w:lang w:eastAsia="en-US"/>
        </w:rPr>
        <w:t xml:space="preserve"> Medicine,3</w:t>
      </w:r>
      <w:r w:rsidRPr="00FB756F">
        <w:rPr>
          <w:rFonts w:ascii="Cambria" w:eastAsia="Times New Roman" w:hAnsi="Cambria" w:cs="Times New Roman"/>
          <w:color w:val="1B1B1B"/>
          <w:szCs w:val="24"/>
          <w:lang w:eastAsia="en-US"/>
        </w:rPr>
        <w:t xml:space="preserve">(10), e419. </w:t>
      </w:r>
      <w:proofErr w:type="gramStart"/>
      <w:r w:rsidRPr="00FB756F">
        <w:rPr>
          <w:rFonts w:ascii="Cambria" w:eastAsia="Times New Roman" w:hAnsi="Cambria" w:cs="Times New Roman"/>
          <w:color w:val="1B1B1B"/>
          <w:szCs w:val="24"/>
          <w:lang w:eastAsia="en-US"/>
        </w:rPr>
        <w:t>doi:10.1371/journal.pmed</w:t>
      </w:r>
      <w:proofErr w:type="gramEnd"/>
      <w:r w:rsidRPr="00FB756F">
        <w:rPr>
          <w:rFonts w:ascii="Cambria" w:eastAsia="Times New Roman" w:hAnsi="Cambria" w:cs="Times New Roman"/>
          <w:color w:val="1B1B1B"/>
          <w:szCs w:val="24"/>
          <w:lang w:eastAsia="en-US"/>
        </w:rPr>
        <w:t>.0030419. [</w:t>
      </w:r>
      <w:hyperlink r:id="rId25"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26" w:history="1">
        <w:r w:rsidRPr="00FB756F">
          <w:rPr>
            <w:rFonts w:ascii="Cambria" w:eastAsia="Times New Roman" w:hAnsi="Cambria" w:cs="Times New Roman"/>
            <w:color w:val="005EA2"/>
            <w:szCs w:val="24"/>
            <w:u w:val="single"/>
            <w:lang w:eastAsia="en-US"/>
          </w:rPr>
          <w:t>PMC free article</w:t>
        </w:r>
      </w:hyperlink>
      <w:r w:rsidRPr="00FB756F">
        <w:rPr>
          <w:rFonts w:ascii="Cambria" w:eastAsia="Times New Roman" w:hAnsi="Cambria" w:cs="Times New Roman"/>
          <w:color w:val="1B1B1B"/>
          <w:szCs w:val="24"/>
          <w:lang w:eastAsia="en-US"/>
        </w:rPr>
        <w:t>] [</w:t>
      </w:r>
      <w:hyperlink r:id="rId27"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w:t>
      </w:r>
    </w:p>
    <w:p w14:paraId="3C77373A"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Humphreys S. J. The sociology of bioethics: The ‘is’ and the ‘ought’. Research Ethics. 2008;4(2):47–51. [</w:t>
      </w:r>
      <w:hyperlink r:id="rId28"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448E872F"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Jackson, H. (2002). </w:t>
      </w:r>
      <w:r w:rsidRPr="00FB756F">
        <w:rPr>
          <w:rFonts w:ascii="Cambria" w:eastAsia="Times New Roman" w:hAnsi="Cambria" w:cs="Times New Roman"/>
          <w:i/>
          <w:iCs/>
          <w:color w:val="1B1B1B"/>
          <w:szCs w:val="24"/>
          <w:lang w:eastAsia="en-US"/>
        </w:rPr>
        <w:t>AIDS Africa: Continent in crisis</w:t>
      </w:r>
      <w:r w:rsidRPr="00FB756F">
        <w:rPr>
          <w:rFonts w:ascii="Cambria" w:eastAsia="Times New Roman" w:hAnsi="Cambria" w:cs="Times New Roman"/>
          <w:color w:val="1B1B1B"/>
          <w:szCs w:val="24"/>
          <w:lang w:eastAsia="en-US"/>
        </w:rPr>
        <w:t xml:space="preserve">. Harare: </w:t>
      </w:r>
      <w:proofErr w:type="spellStart"/>
      <w:r w:rsidRPr="00FB756F">
        <w:rPr>
          <w:rFonts w:ascii="Cambria" w:eastAsia="Times New Roman" w:hAnsi="Cambria" w:cs="Times New Roman"/>
          <w:color w:val="1B1B1B"/>
          <w:szCs w:val="24"/>
          <w:lang w:eastAsia="en-US"/>
        </w:rPr>
        <w:t>SAfAIDS</w:t>
      </w:r>
      <w:proofErr w:type="spellEnd"/>
      <w:r w:rsidRPr="00FB756F">
        <w:rPr>
          <w:rFonts w:ascii="Cambria" w:eastAsia="Times New Roman" w:hAnsi="Cambria" w:cs="Times New Roman"/>
          <w:color w:val="1B1B1B"/>
          <w:szCs w:val="24"/>
          <w:lang w:eastAsia="en-US"/>
        </w:rPr>
        <w:t>.</w:t>
      </w:r>
    </w:p>
    <w:p w14:paraId="2AE4EB1F"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Jegede</w:t>
      </w:r>
      <w:proofErr w:type="spellEnd"/>
      <w:r w:rsidRPr="00FB756F">
        <w:rPr>
          <w:rFonts w:ascii="Cambria" w:eastAsia="Times New Roman" w:hAnsi="Cambria" w:cs="Times New Roman"/>
          <w:color w:val="1B1B1B"/>
          <w:szCs w:val="24"/>
          <w:lang w:eastAsia="en-US"/>
        </w:rPr>
        <w:t xml:space="preserve"> A. S. Nordic Journal of African Studies. 2002;11(3):322–335. [</w:t>
      </w:r>
      <w:hyperlink r:id="rId29"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2B1CBDF5"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Jegede</w:t>
      </w:r>
      <w:proofErr w:type="spellEnd"/>
      <w:r w:rsidRPr="00FB756F">
        <w:rPr>
          <w:rFonts w:ascii="Cambria" w:eastAsia="Times New Roman" w:hAnsi="Cambria" w:cs="Times New Roman"/>
          <w:color w:val="1B1B1B"/>
          <w:szCs w:val="24"/>
          <w:lang w:eastAsia="en-US"/>
        </w:rPr>
        <w:t xml:space="preserve">, A. S. (1996). Social epidemiology. In E. A. </w:t>
      </w:r>
      <w:proofErr w:type="spellStart"/>
      <w:r w:rsidRPr="00FB756F">
        <w:rPr>
          <w:rFonts w:ascii="Cambria" w:eastAsia="Times New Roman" w:hAnsi="Cambria" w:cs="Times New Roman"/>
          <w:color w:val="1B1B1B"/>
          <w:szCs w:val="24"/>
          <w:lang w:eastAsia="en-US"/>
        </w:rPr>
        <w:t>Oke</w:t>
      </w:r>
      <w:proofErr w:type="spellEnd"/>
      <w:r w:rsidRPr="00FB756F">
        <w:rPr>
          <w:rFonts w:ascii="Cambria" w:eastAsia="Times New Roman" w:hAnsi="Cambria" w:cs="Times New Roman"/>
          <w:color w:val="1B1B1B"/>
          <w:szCs w:val="24"/>
          <w:lang w:eastAsia="en-US"/>
        </w:rPr>
        <w:t xml:space="preserve"> &amp; B. E. </w:t>
      </w:r>
      <w:proofErr w:type="spellStart"/>
      <w:r w:rsidRPr="00FB756F">
        <w:rPr>
          <w:rFonts w:ascii="Cambria" w:eastAsia="Times New Roman" w:hAnsi="Cambria" w:cs="Times New Roman"/>
          <w:color w:val="1B1B1B"/>
          <w:szCs w:val="24"/>
          <w:lang w:eastAsia="en-US"/>
        </w:rPr>
        <w:t>Owumi</w:t>
      </w:r>
      <w:proofErr w:type="spellEnd"/>
      <w:r w:rsidRPr="00FB756F">
        <w:rPr>
          <w:rFonts w:ascii="Cambria" w:eastAsia="Times New Roman" w:hAnsi="Cambria" w:cs="Times New Roman"/>
          <w:color w:val="1B1B1B"/>
          <w:szCs w:val="24"/>
          <w:lang w:eastAsia="en-US"/>
        </w:rPr>
        <w:t xml:space="preserve"> (Eds.), </w:t>
      </w:r>
      <w:r w:rsidRPr="00FB756F">
        <w:rPr>
          <w:rFonts w:ascii="Cambria" w:eastAsia="Times New Roman" w:hAnsi="Cambria" w:cs="Times New Roman"/>
          <w:i/>
          <w:iCs/>
          <w:color w:val="1B1B1B"/>
          <w:szCs w:val="24"/>
          <w:lang w:eastAsia="en-US"/>
        </w:rPr>
        <w:t>Readings in medical sociology</w:t>
      </w:r>
      <w:r w:rsidRPr="00FB756F">
        <w:rPr>
          <w:rFonts w:ascii="Cambria" w:eastAsia="Times New Roman" w:hAnsi="Cambria" w:cs="Times New Roman"/>
          <w:color w:val="1B1B1B"/>
          <w:szCs w:val="24"/>
          <w:lang w:eastAsia="en-US"/>
        </w:rPr>
        <w:t> (pp. 52–71). Ibadan: Resource Development and Management Services.</w:t>
      </w:r>
    </w:p>
    <w:p w14:paraId="08B0349A"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Kaminskas</w:t>
      </w:r>
      <w:proofErr w:type="spellEnd"/>
      <w:r w:rsidRPr="00FB756F">
        <w:rPr>
          <w:rFonts w:ascii="Cambria" w:eastAsia="Times New Roman" w:hAnsi="Cambria" w:cs="Times New Roman"/>
          <w:color w:val="1B1B1B"/>
          <w:szCs w:val="24"/>
          <w:lang w:eastAsia="en-US"/>
        </w:rPr>
        <w:t xml:space="preserve"> R., </w:t>
      </w:r>
      <w:proofErr w:type="spellStart"/>
      <w:r w:rsidRPr="00FB756F">
        <w:rPr>
          <w:rFonts w:ascii="Cambria" w:eastAsia="Times New Roman" w:hAnsi="Cambria" w:cs="Times New Roman"/>
          <w:color w:val="1B1B1B"/>
          <w:szCs w:val="24"/>
          <w:lang w:eastAsia="en-US"/>
        </w:rPr>
        <w:t>Darulis</w:t>
      </w:r>
      <w:proofErr w:type="spellEnd"/>
      <w:r w:rsidRPr="00FB756F">
        <w:rPr>
          <w:rFonts w:ascii="Cambria" w:eastAsia="Times New Roman" w:hAnsi="Cambria" w:cs="Times New Roman"/>
          <w:color w:val="1B1B1B"/>
          <w:szCs w:val="24"/>
          <w:lang w:eastAsia="en-US"/>
        </w:rPr>
        <w:t xml:space="preserve"> Z. </w:t>
      </w:r>
      <w:proofErr w:type="spellStart"/>
      <w:r w:rsidRPr="00FB756F">
        <w:rPr>
          <w:rFonts w:ascii="Cambria" w:eastAsia="Times New Roman" w:hAnsi="Cambria" w:cs="Times New Roman"/>
          <w:color w:val="1B1B1B"/>
          <w:szCs w:val="24"/>
          <w:lang w:eastAsia="en-US"/>
        </w:rPr>
        <w:t>Medicina</w:t>
      </w:r>
      <w:proofErr w:type="spellEnd"/>
      <w:r w:rsidRPr="00FB756F">
        <w:rPr>
          <w:rFonts w:ascii="Cambria" w:eastAsia="Times New Roman" w:hAnsi="Cambria" w:cs="Times New Roman"/>
          <w:color w:val="1B1B1B"/>
          <w:szCs w:val="24"/>
          <w:lang w:eastAsia="en-US"/>
        </w:rPr>
        <w:t>. 2007;43(2):110–117. [</w:t>
      </w:r>
      <w:hyperlink r:id="rId30"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31"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6ADEAE31"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Kerbo</w:t>
      </w:r>
      <w:proofErr w:type="spellEnd"/>
      <w:r w:rsidRPr="00FB756F">
        <w:rPr>
          <w:rFonts w:ascii="Cambria" w:eastAsia="Times New Roman" w:hAnsi="Cambria" w:cs="Times New Roman"/>
          <w:color w:val="1B1B1B"/>
          <w:szCs w:val="24"/>
          <w:lang w:eastAsia="en-US"/>
        </w:rPr>
        <w:t>, H. R., &amp; Coleman, J. W. (2006). Social problems. In C. D. Bryant &amp; D. L. Peck (Eds.), </w:t>
      </w:r>
      <w:r w:rsidRPr="00FB756F">
        <w:rPr>
          <w:rFonts w:ascii="Cambria" w:eastAsia="Times New Roman" w:hAnsi="Cambria" w:cs="Times New Roman"/>
          <w:i/>
          <w:iCs/>
          <w:color w:val="1B1B1B"/>
          <w:szCs w:val="24"/>
          <w:lang w:eastAsia="en-US"/>
        </w:rPr>
        <w:t>21st century sociology: A reference handbook</w:t>
      </w:r>
      <w:r w:rsidRPr="00FB756F">
        <w:rPr>
          <w:rFonts w:ascii="Cambria" w:eastAsia="Times New Roman" w:hAnsi="Cambria" w:cs="Times New Roman"/>
          <w:color w:val="1B1B1B"/>
          <w:szCs w:val="24"/>
          <w:lang w:eastAsia="en-US"/>
        </w:rPr>
        <w:t> (pp. 362–369). California: Sage Publications.</w:t>
      </w:r>
    </w:p>
    <w:p w14:paraId="7BCD7B1E"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Krieger N. Social Science &amp; Medicine. 1994;39(7):887–903.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10.1016/0277-9536(94)90202-X. [</w:t>
      </w:r>
      <w:hyperlink r:id="rId32"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33"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34"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14F92EB4"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Krieger N. International Journal of Epidemiology. </w:t>
      </w:r>
      <w:proofErr w:type="gramStart"/>
      <w:r w:rsidRPr="00FB756F">
        <w:rPr>
          <w:rFonts w:ascii="Cambria" w:eastAsia="Times New Roman" w:hAnsi="Cambria" w:cs="Times New Roman"/>
          <w:color w:val="1B1B1B"/>
          <w:szCs w:val="24"/>
          <w:lang w:eastAsia="en-US"/>
        </w:rPr>
        <w:t>2001;30:668</w:t>
      </w:r>
      <w:proofErr w:type="gramEnd"/>
      <w:r w:rsidRPr="00FB756F">
        <w:rPr>
          <w:rFonts w:ascii="Cambria" w:eastAsia="Times New Roman" w:hAnsi="Cambria" w:cs="Times New Roman"/>
          <w:color w:val="1B1B1B"/>
          <w:szCs w:val="24"/>
          <w:lang w:eastAsia="en-US"/>
        </w:rPr>
        <w:t xml:space="preserve">–677.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10.1093/</w:t>
      </w:r>
      <w:proofErr w:type="spellStart"/>
      <w:r w:rsidRPr="00FB756F">
        <w:rPr>
          <w:rFonts w:ascii="Cambria" w:eastAsia="Times New Roman" w:hAnsi="Cambria" w:cs="Times New Roman"/>
          <w:color w:val="1B1B1B"/>
          <w:szCs w:val="24"/>
          <w:lang w:eastAsia="en-US"/>
        </w:rPr>
        <w:t>ije</w:t>
      </w:r>
      <w:proofErr w:type="spellEnd"/>
      <w:r w:rsidRPr="00FB756F">
        <w:rPr>
          <w:rFonts w:ascii="Cambria" w:eastAsia="Times New Roman" w:hAnsi="Cambria" w:cs="Times New Roman"/>
          <w:color w:val="1B1B1B"/>
          <w:szCs w:val="24"/>
          <w:lang w:eastAsia="en-US"/>
        </w:rPr>
        <w:t>/30.4.668. [</w:t>
      </w:r>
      <w:hyperlink r:id="rId35"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36"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37"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36816C29"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Light D. W. Journal of Health and Social </w:t>
      </w:r>
      <w:proofErr w:type="spellStart"/>
      <w:r w:rsidRPr="00FB756F">
        <w:rPr>
          <w:rFonts w:ascii="Cambria" w:eastAsia="Times New Roman" w:hAnsi="Cambria" w:cs="Times New Roman"/>
          <w:color w:val="1B1B1B"/>
          <w:szCs w:val="24"/>
          <w:lang w:eastAsia="en-US"/>
        </w:rPr>
        <w:t>Behaviour</w:t>
      </w:r>
      <w:proofErr w:type="spellEnd"/>
      <w:r w:rsidRPr="00FB756F">
        <w:rPr>
          <w:rFonts w:ascii="Cambria" w:eastAsia="Times New Roman" w:hAnsi="Cambria" w:cs="Times New Roman"/>
          <w:color w:val="1B1B1B"/>
          <w:szCs w:val="24"/>
          <w:lang w:eastAsia="en-US"/>
        </w:rPr>
        <w:t xml:space="preserve">. 1988;29(4):307–322.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10.2307/2136865. [</w:t>
      </w:r>
      <w:hyperlink r:id="rId38"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39"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40"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1E1F2049"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Lyman, S. M., Johnson, J. M., &amp; Warren, C. A. B. (1973). Social problems and social order. In J. D. Douglas (Ed.), </w:t>
      </w:r>
      <w:r w:rsidRPr="00FB756F">
        <w:rPr>
          <w:rFonts w:ascii="Cambria" w:eastAsia="Times New Roman" w:hAnsi="Cambria" w:cs="Times New Roman"/>
          <w:i/>
          <w:iCs/>
          <w:color w:val="1B1B1B"/>
          <w:szCs w:val="24"/>
          <w:lang w:eastAsia="en-US"/>
        </w:rPr>
        <w:t>Introduction to sociology: Situations and structures</w:t>
      </w:r>
      <w:r w:rsidRPr="00FB756F">
        <w:rPr>
          <w:rFonts w:ascii="Cambria" w:eastAsia="Times New Roman" w:hAnsi="Cambria" w:cs="Times New Roman"/>
          <w:color w:val="1B1B1B"/>
          <w:szCs w:val="24"/>
          <w:lang w:eastAsia="en-US"/>
        </w:rPr>
        <w:t>. New York: The Free Press.</w:t>
      </w:r>
    </w:p>
    <w:p w14:paraId="2B265D9F"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Mechanic D. Social Psychiatry. 1966;1(1):11–20.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10.1007/BF00583824. [</w:t>
      </w:r>
      <w:hyperlink r:id="rId41"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42"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79E27313"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Mechanic, D. (1968). </w:t>
      </w:r>
      <w:r w:rsidRPr="00FB756F">
        <w:rPr>
          <w:rFonts w:ascii="Cambria" w:eastAsia="Times New Roman" w:hAnsi="Cambria" w:cs="Times New Roman"/>
          <w:i/>
          <w:iCs/>
          <w:color w:val="1B1B1B"/>
          <w:szCs w:val="24"/>
          <w:lang w:eastAsia="en-US"/>
        </w:rPr>
        <w:t>Medical sociology: A selective view</w:t>
      </w:r>
      <w:r w:rsidRPr="00FB756F">
        <w:rPr>
          <w:rFonts w:ascii="Cambria" w:eastAsia="Times New Roman" w:hAnsi="Cambria" w:cs="Times New Roman"/>
          <w:color w:val="1B1B1B"/>
          <w:szCs w:val="24"/>
          <w:lang w:eastAsia="en-US"/>
        </w:rPr>
        <w:t>. NY: The Free Press.</w:t>
      </w:r>
    </w:p>
    <w:p w14:paraId="7F65A9B1"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Mechanic D. Health Affairs. 1990;9(1):85–97.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10.1377/hlthaff.9.1.85. [</w:t>
      </w:r>
      <w:hyperlink r:id="rId43"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44"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45"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7A2BED00"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Parsons, T. (1951). </w:t>
      </w:r>
      <w:r w:rsidRPr="00FB756F">
        <w:rPr>
          <w:rFonts w:ascii="Cambria" w:eastAsia="Times New Roman" w:hAnsi="Cambria" w:cs="Times New Roman"/>
          <w:i/>
          <w:iCs/>
          <w:color w:val="1B1B1B"/>
          <w:szCs w:val="24"/>
          <w:lang w:eastAsia="en-US"/>
        </w:rPr>
        <w:t>The social system</w:t>
      </w:r>
      <w:r w:rsidRPr="00FB756F">
        <w:rPr>
          <w:rFonts w:ascii="Cambria" w:eastAsia="Times New Roman" w:hAnsi="Cambria" w:cs="Times New Roman"/>
          <w:color w:val="1B1B1B"/>
          <w:szCs w:val="24"/>
          <w:lang w:eastAsia="en-US"/>
        </w:rPr>
        <w:t>. Glencoe: Free Press.</w:t>
      </w:r>
    </w:p>
    <w:p w14:paraId="02300307"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Petersen A. Can and should sociology save bioethics? Medical Sociology Online. 2011;6(1):2–14. [</w:t>
      </w:r>
      <w:hyperlink r:id="rId46"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06F0D7EC"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Pilgrim D., Rogers A. Something old, something new…: Sociology and the </w:t>
      </w:r>
      <w:proofErr w:type="spellStart"/>
      <w:r w:rsidRPr="00FB756F">
        <w:rPr>
          <w:rFonts w:ascii="Cambria" w:eastAsia="Times New Roman" w:hAnsi="Cambria" w:cs="Times New Roman"/>
          <w:color w:val="1B1B1B"/>
          <w:szCs w:val="24"/>
          <w:lang w:eastAsia="en-US"/>
        </w:rPr>
        <w:t>organisation</w:t>
      </w:r>
      <w:proofErr w:type="spellEnd"/>
      <w:r w:rsidRPr="00FB756F">
        <w:rPr>
          <w:rFonts w:ascii="Cambria" w:eastAsia="Times New Roman" w:hAnsi="Cambria" w:cs="Times New Roman"/>
          <w:color w:val="1B1B1B"/>
          <w:szCs w:val="24"/>
          <w:lang w:eastAsia="en-US"/>
        </w:rPr>
        <w:t xml:space="preserve"> of psychiatry. Sociology. 1994;28(2):521–538. [</w:t>
      </w:r>
      <w:hyperlink r:id="rId47"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60982AF0"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Smelser, N. (1994). </w:t>
      </w:r>
      <w:r w:rsidRPr="00FB756F">
        <w:rPr>
          <w:rFonts w:ascii="Cambria" w:eastAsia="Times New Roman" w:hAnsi="Cambria" w:cs="Times New Roman"/>
          <w:i/>
          <w:iCs/>
          <w:color w:val="1B1B1B"/>
          <w:szCs w:val="24"/>
          <w:lang w:eastAsia="en-US"/>
        </w:rPr>
        <w:t>Sociology</w:t>
      </w:r>
      <w:r w:rsidRPr="00FB756F">
        <w:rPr>
          <w:rFonts w:ascii="Cambria" w:eastAsia="Times New Roman" w:hAnsi="Cambria" w:cs="Times New Roman"/>
          <w:color w:val="1B1B1B"/>
          <w:szCs w:val="24"/>
          <w:lang w:eastAsia="en-US"/>
        </w:rPr>
        <w:t>. Cambridge: Blackwell.</w:t>
      </w:r>
    </w:p>
    <w:p w14:paraId="48B41E7B"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lastRenderedPageBreak/>
        <w:t xml:space="preserve">Smelser N. J. International Sociology. </w:t>
      </w:r>
      <w:proofErr w:type="gramStart"/>
      <w:r w:rsidRPr="00FB756F">
        <w:rPr>
          <w:rFonts w:ascii="Cambria" w:eastAsia="Times New Roman" w:hAnsi="Cambria" w:cs="Times New Roman"/>
          <w:color w:val="1B1B1B"/>
          <w:szCs w:val="24"/>
          <w:lang w:eastAsia="en-US"/>
        </w:rPr>
        <w:t>1996;11:275</w:t>
      </w:r>
      <w:proofErr w:type="gramEnd"/>
      <w:r w:rsidRPr="00FB756F">
        <w:rPr>
          <w:rFonts w:ascii="Cambria" w:eastAsia="Times New Roman" w:hAnsi="Cambria" w:cs="Times New Roman"/>
          <w:color w:val="1B1B1B"/>
          <w:szCs w:val="24"/>
          <w:lang w:eastAsia="en-US"/>
        </w:rPr>
        <w:t xml:space="preserve">–290.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10.1177/026858096011003001. [</w:t>
      </w:r>
      <w:hyperlink r:id="rId48"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49"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4102356B"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Spencer H. The study of sociology. NY: D. Appleton &amp; Co.; 1891. [</w:t>
      </w:r>
      <w:hyperlink r:id="rId50"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0CC81075"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Spencer H. The principles of sociology. NY: D. Appleton &amp; Co.; 1896. [</w:t>
      </w:r>
      <w:hyperlink r:id="rId51"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722C1006"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Stacey M., Homans H. Sociology. </w:t>
      </w:r>
      <w:proofErr w:type="gramStart"/>
      <w:r w:rsidRPr="00FB756F">
        <w:rPr>
          <w:rFonts w:ascii="Cambria" w:eastAsia="Times New Roman" w:hAnsi="Cambria" w:cs="Times New Roman"/>
          <w:color w:val="1B1B1B"/>
          <w:szCs w:val="24"/>
          <w:lang w:eastAsia="en-US"/>
        </w:rPr>
        <w:t>1978;12:281</w:t>
      </w:r>
      <w:proofErr w:type="gramEnd"/>
      <w:r w:rsidRPr="00FB756F">
        <w:rPr>
          <w:rFonts w:ascii="Cambria" w:eastAsia="Times New Roman" w:hAnsi="Cambria" w:cs="Times New Roman"/>
          <w:color w:val="1B1B1B"/>
          <w:szCs w:val="24"/>
          <w:lang w:eastAsia="en-US"/>
        </w:rPr>
        <w:t xml:space="preserve">–307.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10.1177/003803857801200206. [</w:t>
      </w:r>
      <w:hyperlink r:id="rId52"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53"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1F6FA6E0"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Straus R. American Sociological Review. </w:t>
      </w:r>
      <w:proofErr w:type="gramStart"/>
      <w:r w:rsidRPr="00FB756F">
        <w:rPr>
          <w:rFonts w:ascii="Cambria" w:eastAsia="Times New Roman" w:hAnsi="Cambria" w:cs="Times New Roman"/>
          <w:color w:val="1B1B1B"/>
          <w:szCs w:val="24"/>
          <w:lang w:eastAsia="en-US"/>
        </w:rPr>
        <w:t>1957;22:200</w:t>
      </w:r>
      <w:proofErr w:type="gramEnd"/>
      <w:r w:rsidRPr="00FB756F">
        <w:rPr>
          <w:rFonts w:ascii="Cambria" w:eastAsia="Times New Roman" w:hAnsi="Cambria" w:cs="Times New Roman"/>
          <w:color w:val="1B1B1B"/>
          <w:szCs w:val="24"/>
          <w:lang w:eastAsia="en-US"/>
        </w:rPr>
        <w:t xml:space="preserve">–204. </w:t>
      </w:r>
      <w:proofErr w:type="spellStart"/>
      <w:r w:rsidRPr="00FB756F">
        <w:rPr>
          <w:rFonts w:ascii="Cambria" w:eastAsia="Times New Roman" w:hAnsi="Cambria" w:cs="Times New Roman"/>
          <w:color w:val="1B1B1B"/>
          <w:szCs w:val="24"/>
          <w:lang w:eastAsia="en-US"/>
        </w:rPr>
        <w:t>doi</w:t>
      </w:r>
      <w:proofErr w:type="spellEnd"/>
      <w:r w:rsidRPr="00FB756F">
        <w:rPr>
          <w:rFonts w:ascii="Cambria" w:eastAsia="Times New Roman" w:hAnsi="Cambria" w:cs="Times New Roman"/>
          <w:color w:val="1B1B1B"/>
          <w:szCs w:val="24"/>
          <w:lang w:eastAsia="en-US"/>
        </w:rPr>
        <w:t>: 10.2307/2088858. [</w:t>
      </w:r>
      <w:hyperlink r:id="rId54" w:tgtFrame="_blank" w:history="1">
        <w:r w:rsidRPr="00FB756F">
          <w:rPr>
            <w:rFonts w:ascii="Cambria" w:eastAsia="Times New Roman" w:hAnsi="Cambria" w:cs="Times New Roman"/>
            <w:color w:val="005EA2"/>
            <w:szCs w:val="24"/>
            <w:u w:val="single"/>
            <w:lang w:eastAsia="en-US"/>
          </w:rPr>
          <w:t>DOI</w:t>
        </w:r>
      </w:hyperlink>
      <w:r w:rsidRPr="00FB756F">
        <w:rPr>
          <w:rFonts w:ascii="Cambria" w:eastAsia="Times New Roman" w:hAnsi="Cambria" w:cs="Times New Roman"/>
          <w:color w:val="1B1B1B"/>
          <w:szCs w:val="24"/>
          <w:lang w:eastAsia="en-US"/>
        </w:rPr>
        <w:t>] [</w:t>
      </w:r>
      <w:hyperlink r:id="rId55"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19619A0C"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r w:rsidRPr="00FB756F">
        <w:rPr>
          <w:rFonts w:ascii="Cambria" w:eastAsia="Times New Roman" w:hAnsi="Cambria" w:cs="Times New Roman"/>
          <w:color w:val="1B1B1B"/>
          <w:szCs w:val="24"/>
          <w:lang w:eastAsia="en-US"/>
        </w:rPr>
        <w:t xml:space="preserve">Straus R. Medical sociology: A personal </w:t>
      </w:r>
      <w:proofErr w:type="gramStart"/>
      <w:r w:rsidRPr="00FB756F">
        <w:rPr>
          <w:rFonts w:ascii="Cambria" w:eastAsia="Times New Roman" w:hAnsi="Cambria" w:cs="Times New Roman"/>
          <w:color w:val="1B1B1B"/>
          <w:szCs w:val="24"/>
          <w:lang w:eastAsia="en-US"/>
        </w:rPr>
        <w:t>fifty year</w:t>
      </w:r>
      <w:proofErr w:type="gramEnd"/>
      <w:r w:rsidRPr="00FB756F">
        <w:rPr>
          <w:rFonts w:ascii="Cambria" w:eastAsia="Times New Roman" w:hAnsi="Cambria" w:cs="Times New Roman"/>
          <w:color w:val="1B1B1B"/>
          <w:szCs w:val="24"/>
          <w:lang w:eastAsia="en-US"/>
        </w:rPr>
        <w:t xml:space="preserve"> perspective. Journal of Health and Social Behavior. 1999;40(2):103–110. [</w:t>
      </w:r>
      <w:hyperlink r:id="rId56" w:history="1">
        <w:r w:rsidRPr="00FB756F">
          <w:rPr>
            <w:rFonts w:ascii="Cambria" w:eastAsia="Times New Roman" w:hAnsi="Cambria" w:cs="Times New Roman"/>
            <w:color w:val="005EA2"/>
            <w:szCs w:val="24"/>
            <w:u w:val="single"/>
            <w:lang w:eastAsia="en-US"/>
          </w:rPr>
          <w:t>PubMed</w:t>
        </w:r>
      </w:hyperlink>
      <w:r w:rsidRPr="00FB756F">
        <w:rPr>
          <w:rFonts w:ascii="Cambria" w:eastAsia="Times New Roman" w:hAnsi="Cambria" w:cs="Times New Roman"/>
          <w:color w:val="1B1B1B"/>
          <w:szCs w:val="24"/>
          <w:lang w:eastAsia="en-US"/>
        </w:rPr>
        <w:t>] [</w:t>
      </w:r>
      <w:hyperlink r:id="rId57" w:tgtFrame="_blank" w:history="1">
        <w:r w:rsidRPr="00FB756F">
          <w:rPr>
            <w:rFonts w:ascii="Cambria" w:eastAsia="Times New Roman" w:hAnsi="Cambria" w:cs="Times New Roman"/>
            <w:color w:val="005EA2"/>
            <w:szCs w:val="24"/>
            <w:u w:val="single"/>
            <w:lang w:eastAsia="en-US"/>
          </w:rPr>
          <w:t>Google Scholar</w:t>
        </w:r>
      </w:hyperlink>
      <w:r w:rsidRPr="00FB756F">
        <w:rPr>
          <w:rFonts w:ascii="Cambria" w:eastAsia="Times New Roman" w:hAnsi="Cambria" w:cs="Times New Roman"/>
          <w:color w:val="1B1B1B"/>
          <w:szCs w:val="24"/>
          <w:lang w:eastAsia="en-US"/>
        </w:rPr>
        <w:t>]</w:t>
      </w:r>
    </w:p>
    <w:p w14:paraId="505F7A74" w14:textId="77777777" w:rsidR="00FB756F" w:rsidRPr="00FB756F" w:rsidRDefault="00FB756F" w:rsidP="00FB756F">
      <w:pPr>
        <w:numPr>
          <w:ilvl w:val="0"/>
          <w:numId w:val="8"/>
        </w:numPr>
        <w:shd w:val="clear" w:color="auto" w:fill="FFFFFF"/>
        <w:spacing w:before="225" w:after="100" w:afterAutospacing="1" w:line="240" w:lineRule="auto"/>
        <w:ind w:left="-540"/>
        <w:jc w:val="left"/>
        <w:rPr>
          <w:rFonts w:ascii="Cambria" w:eastAsia="Times New Roman" w:hAnsi="Cambria" w:cs="Times New Roman"/>
          <w:color w:val="1B1B1B"/>
          <w:szCs w:val="24"/>
          <w:lang w:eastAsia="en-US"/>
        </w:rPr>
      </w:pPr>
      <w:proofErr w:type="spellStart"/>
      <w:r w:rsidRPr="00FB756F">
        <w:rPr>
          <w:rFonts w:ascii="Cambria" w:eastAsia="Times New Roman" w:hAnsi="Cambria" w:cs="Times New Roman"/>
          <w:color w:val="1B1B1B"/>
          <w:szCs w:val="24"/>
          <w:lang w:eastAsia="en-US"/>
        </w:rPr>
        <w:t>Warbasse</w:t>
      </w:r>
      <w:proofErr w:type="spellEnd"/>
      <w:r w:rsidRPr="00FB756F">
        <w:rPr>
          <w:rFonts w:ascii="Cambria" w:eastAsia="Times New Roman" w:hAnsi="Cambria" w:cs="Times New Roman"/>
          <w:color w:val="1B1B1B"/>
          <w:szCs w:val="24"/>
          <w:lang w:eastAsia="en-US"/>
        </w:rPr>
        <w:t>, J. P. (1909). Medical sociology: A series of observations touching upon the sociology of health and the relations of medicine to society. New York: D. Appleton.</w:t>
      </w:r>
    </w:p>
    <w:p w14:paraId="5350D877" w14:textId="77777777" w:rsidR="00EF542C" w:rsidRPr="000D5696" w:rsidRDefault="00EF542C" w:rsidP="00EF542C">
      <w:pPr>
        <w:pStyle w:val="NormalWeb"/>
        <w:shd w:val="clear" w:color="auto" w:fill="FFFFFF"/>
        <w:spacing w:before="0" w:beforeAutospacing="0" w:after="188" w:afterAutospacing="0" w:line="360" w:lineRule="auto"/>
      </w:pPr>
    </w:p>
    <w:p w14:paraId="5F8D312F" w14:textId="77777777" w:rsidR="00EF542C" w:rsidRPr="000D5696" w:rsidRDefault="00EF542C" w:rsidP="00EF542C">
      <w:pPr>
        <w:pStyle w:val="NormalWeb"/>
        <w:shd w:val="clear" w:color="auto" w:fill="FFFFFF"/>
        <w:spacing w:before="0" w:beforeAutospacing="0" w:line="360" w:lineRule="auto"/>
      </w:pPr>
    </w:p>
    <w:p w14:paraId="46A4BDC0" w14:textId="77777777" w:rsidR="00EF542C" w:rsidRPr="000D5696" w:rsidRDefault="00EF542C" w:rsidP="00EF542C">
      <w:pPr>
        <w:spacing w:line="360" w:lineRule="auto"/>
        <w:rPr>
          <w:rFonts w:cs="Times New Roman"/>
          <w:szCs w:val="24"/>
        </w:rPr>
      </w:pPr>
    </w:p>
    <w:p w14:paraId="2D103196" w14:textId="77777777" w:rsidR="00EF542C" w:rsidRPr="000D5696" w:rsidRDefault="00EF542C" w:rsidP="00C1763A">
      <w:pPr>
        <w:rPr>
          <w:rFonts w:cs="Times New Roman"/>
          <w:szCs w:val="24"/>
        </w:rPr>
      </w:pPr>
    </w:p>
    <w:sectPr w:rsidR="00EF542C" w:rsidRPr="000D5696" w:rsidSect="001C3E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4F8"/>
    <w:multiLevelType w:val="multilevel"/>
    <w:tmpl w:val="427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856BC"/>
    <w:multiLevelType w:val="multilevel"/>
    <w:tmpl w:val="708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F0C10"/>
    <w:multiLevelType w:val="hybridMultilevel"/>
    <w:tmpl w:val="475A9F24"/>
    <w:lvl w:ilvl="0" w:tplc="B1FEF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21BB8"/>
    <w:multiLevelType w:val="multilevel"/>
    <w:tmpl w:val="3320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25EFF"/>
    <w:multiLevelType w:val="multilevel"/>
    <w:tmpl w:val="2E5C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C725A"/>
    <w:multiLevelType w:val="multilevel"/>
    <w:tmpl w:val="57C2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A964F3"/>
    <w:multiLevelType w:val="multilevel"/>
    <w:tmpl w:val="2026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43E8B"/>
    <w:multiLevelType w:val="multilevel"/>
    <w:tmpl w:val="3BA6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07"/>
    <w:rsid w:val="000249B4"/>
    <w:rsid w:val="000B3F6E"/>
    <w:rsid w:val="000D5696"/>
    <w:rsid w:val="001515EC"/>
    <w:rsid w:val="00187B6B"/>
    <w:rsid w:val="001C3E06"/>
    <w:rsid w:val="00330FAD"/>
    <w:rsid w:val="003C3607"/>
    <w:rsid w:val="005150E7"/>
    <w:rsid w:val="00531ED1"/>
    <w:rsid w:val="005B75CF"/>
    <w:rsid w:val="00606546"/>
    <w:rsid w:val="00640380"/>
    <w:rsid w:val="006522A4"/>
    <w:rsid w:val="006C7503"/>
    <w:rsid w:val="0084122D"/>
    <w:rsid w:val="0086669C"/>
    <w:rsid w:val="008A3BD4"/>
    <w:rsid w:val="00930A6B"/>
    <w:rsid w:val="00961D4A"/>
    <w:rsid w:val="00A53FD6"/>
    <w:rsid w:val="00B50823"/>
    <w:rsid w:val="00C1763A"/>
    <w:rsid w:val="00C33C80"/>
    <w:rsid w:val="00CA748D"/>
    <w:rsid w:val="00CE5BDB"/>
    <w:rsid w:val="00D1662E"/>
    <w:rsid w:val="00D4745C"/>
    <w:rsid w:val="00D9729D"/>
    <w:rsid w:val="00DB50CB"/>
    <w:rsid w:val="00EB0DCA"/>
    <w:rsid w:val="00EF542C"/>
    <w:rsid w:val="00F51C85"/>
    <w:rsid w:val="00FB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D119"/>
  <w15:docId w15:val="{3E2453AF-B073-40FE-A9E9-2C7104DE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BD4"/>
    <w:pPr>
      <w:spacing w:after="240" w:line="480" w:lineRule="auto"/>
      <w:jc w:val="both"/>
    </w:pPr>
    <w:rPr>
      <w:rFonts w:ascii="Times New Roman" w:hAnsi="Times New Roman"/>
      <w:color w:val="000000" w:themeColor="text1"/>
      <w:sz w:val="24"/>
    </w:rPr>
  </w:style>
  <w:style w:type="paragraph" w:styleId="Heading2">
    <w:name w:val="heading 2"/>
    <w:basedOn w:val="Normal"/>
    <w:link w:val="Heading2Char"/>
    <w:uiPriority w:val="9"/>
    <w:qFormat/>
    <w:rsid w:val="00187B6B"/>
    <w:pPr>
      <w:spacing w:before="100" w:beforeAutospacing="1" w:after="100" w:afterAutospacing="1" w:line="240" w:lineRule="auto"/>
      <w:outlineLvl w:val="1"/>
    </w:pPr>
    <w:rPr>
      <w:rFonts w:eastAsia="Times New Roman" w:cs="Times New Roman"/>
      <w:b/>
      <w:bCs/>
      <w:sz w:val="36"/>
      <w:szCs w:val="36"/>
      <w:lang w:eastAsia="en-US"/>
    </w:rPr>
  </w:style>
  <w:style w:type="paragraph" w:styleId="Heading3">
    <w:name w:val="heading 3"/>
    <w:basedOn w:val="Normal"/>
    <w:next w:val="Normal"/>
    <w:link w:val="Heading3Char"/>
    <w:uiPriority w:val="9"/>
    <w:semiHidden/>
    <w:unhideWhenUsed/>
    <w:qFormat/>
    <w:rsid w:val="00187B6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60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3C3607"/>
    <w:rPr>
      <w:i/>
      <w:iCs/>
    </w:rPr>
  </w:style>
  <w:style w:type="paragraph" w:styleId="ListParagraph">
    <w:name w:val="List Paragraph"/>
    <w:basedOn w:val="Normal"/>
    <w:uiPriority w:val="34"/>
    <w:qFormat/>
    <w:rsid w:val="00C33C80"/>
    <w:pPr>
      <w:ind w:left="720"/>
      <w:contextualSpacing/>
    </w:pPr>
  </w:style>
  <w:style w:type="character" w:customStyle="1" w:styleId="Heading2Char">
    <w:name w:val="Heading 2 Char"/>
    <w:basedOn w:val="DefaultParagraphFont"/>
    <w:link w:val="Heading2"/>
    <w:uiPriority w:val="9"/>
    <w:rsid w:val="00187B6B"/>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semiHidden/>
    <w:rsid w:val="00187B6B"/>
    <w:rPr>
      <w:rFonts w:asciiTheme="majorHAnsi" w:eastAsiaTheme="majorEastAsia" w:hAnsiTheme="majorHAnsi" w:cstheme="majorBidi"/>
      <w:b/>
      <w:bCs/>
      <w:color w:val="4472C4" w:themeColor="accent1"/>
      <w:lang w:val="en-US"/>
    </w:rPr>
  </w:style>
  <w:style w:type="character" w:customStyle="1" w:styleId="anchor-text">
    <w:name w:val="anchor-text"/>
    <w:basedOn w:val="DefaultParagraphFont"/>
    <w:rsid w:val="000249B4"/>
  </w:style>
  <w:style w:type="character" w:styleId="Hyperlink">
    <w:name w:val="Hyperlink"/>
    <w:basedOn w:val="DefaultParagraphFont"/>
    <w:uiPriority w:val="99"/>
    <w:unhideWhenUsed/>
    <w:rsid w:val="000249B4"/>
    <w:rPr>
      <w:color w:val="0000FF"/>
      <w:u w:val="single"/>
    </w:rPr>
  </w:style>
  <w:style w:type="character" w:customStyle="1" w:styleId="topic-highlight">
    <w:name w:val="topic-highlight"/>
    <w:basedOn w:val="DefaultParagraphFont"/>
    <w:rsid w:val="006C7503"/>
  </w:style>
  <w:style w:type="paragraph" w:customStyle="1" w:styleId="p">
    <w:name w:val="p"/>
    <w:basedOn w:val="Normal"/>
    <w:rsid w:val="00D4745C"/>
    <w:pPr>
      <w:spacing w:before="100" w:beforeAutospacing="1" w:after="100" w:afterAutospacing="1" w:line="240" w:lineRule="auto"/>
      <w:jc w:val="left"/>
    </w:pPr>
    <w:rPr>
      <w:rFonts w:eastAsia="Times New Roman" w:cs="Times New Roman"/>
      <w:szCs w:val="24"/>
      <w:lang w:eastAsia="en-US"/>
    </w:rPr>
  </w:style>
  <w:style w:type="paragraph" w:customStyle="1" w:styleId="para">
    <w:name w:val="para"/>
    <w:basedOn w:val="Normal"/>
    <w:rsid w:val="00EF542C"/>
    <w:pPr>
      <w:spacing w:before="100" w:beforeAutospacing="1" w:after="100" w:afterAutospacing="1" w:line="240" w:lineRule="auto"/>
      <w:jc w:val="left"/>
    </w:pPr>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3753">
      <w:bodyDiv w:val="1"/>
      <w:marLeft w:val="0"/>
      <w:marRight w:val="0"/>
      <w:marTop w:val="0"/>
      <w:marBottom w:val="0"/>
      <w:divBdr>
        <w:top w:val="none" w:sz="0" w:space="0" w:color="auto"/>
        <w:left w:val="none" w:sz="0" w:space="0" w:color="auto"/>
        <w:bottom w:val="none" w:sz="0" w:space="0" w:color="auto"/>
        <w:right w:val="none" w:sz="0" w:space="0" w:color="auto"/>
      </w:divBdr>
    </w:div>
    <w:div w:id="158154609">
      <w:bodyDiv w:val="1"/>
      <w:marLeft w:val="0"/>
      <w:marRight w:val="0"/>
      <w:marTop w:val="0"/>
      <w:marBottom w:val="0"/>
      <w:divBdr>
        <w:top w:val="none" w:sz="0" w:space="0" w:color="auto"/>
        <w:left w:val="none" w:sz="0" w:space="0" w:color="auto"/>
        <w:bottom w:val="none" w:sz="0" w:space="0" w:color="auto"/>
        <w:right w:val="none" w:sz="0" w:space="0" w:color="auto"/>
      </w:divBdr>
    </w:div>
    <w:div w:id="161089302">
      <w:bodyDiv w:val="1"/>
      <w:marLeft w:val="0"/>
      <w:marRight w:val="0"/>
      <w:marTop w:val="0"/>
      <w:marBottom w:val="0"/>
      <w:divBdr>
        <w:top w:val="none" w:sz="0" w:space="0" w:color="auto"/>
        <w:left w:val="none" w:sz="0" w:space="0" w:color="auto"/>
        <w:bottom w:val="none" w:sz="0" w:space="0" w:color="auto"/>
        <w:right w:val="none" w:sz="0" w:space="0" w:color="auto"/>
      </w:divBdr>
    </w:div>
    <w:div w:id="588780230">
      <w:bodyDiv w:val="1"/>
      <w:marLeft w:val="0"/>
      <w:marRight w:val="0"/>
      <w:marTop w:val="0"/>
      <w:marBottom w:val="0"/>
      <w:divBdr>
        <w:top w:val="none" w:sz="0" w:space="0" w:color="auto"/>
        <w:left w:val="none" w:sz="0" w:space="0" w:color="auto"/>
        <w:bottom w:val="none" w:sz="0" w:space="0" w:color="auto"/>
        <w:right w:val="none" w:sz="0" w:space="0" w:color="auto"/>
      </w:divBdr>
    </w:div>
    <w:div w:id="609707578">
      <w:bodyDiv w:val="1"/>
      <w:marLeft w:val="0"/>
      <w:marRight w:val="0"/>
      <w:marTop w:val="0"/>
      <w:marBottom w:val="0"/>
      <w:divBdr>
        <w:top w:val="none" w:sz="0" w:space="0" w:color="auto"/>
        <w:left w:val="none" w:sz="0" w:space="0" w:color="auto"/>
        <w:bottom w:val="none" w:sz="0" w:space="0" w:color="auto"/>
        <w:right w:val="none" w:sz="0" w:space="0" w:color="auto"/>
      </w:divBdr>
    </w:div>
    <w:div w:id="861018530">
      <w:bodyDiv w:val="1"/>
      <w:marLeft w:val="0"/>
      <w:marRight w:val="0"/>
      <w:marTop w:val="0"/>
      <w:marBottom w:val="0"/>
      <w:divBdr>
        <w:top w:val="none" w:sz="0" w:space="0" w:color="auto"/>
        <w:left w:val="none" w:sz="0" w:space="0" w:color="auto"/>
        <w:bottom w:val="none" w:sz="0" w:space="0" w:color="auto"/>
        <w:right w:val="none" w:sz="0" w:space="0" w:color="auto"/>
      </w:divBdr>
    </w:div>
    <w:div w:id="876352030">
      <w:bodyDiv w:val="1"/>
      <w:marLeft w:val="0"/>
      <w:marRight w:val="0"/>
      <w:marTop w:val="0"/>
      <w:marBottom w:val="0"/>
      <w:divBdr>
        <w:top w:val="none" w:sz="0" w:space="0" w:color="auto"/>
        <w:left w:val="none" w:sz="0" w:space="0" w:color="auto"/>
        <w:bottom w:val="none" w:sz="0" w:space="0" w:color="auto"/>
        <w:right w:val="none" w:sz="0" w:space="0" w:color="auto"/>
      </w:divBdr>
    </w:div>
    <w:div w:id="1354452196">
      <w:bodyDiv w:val="1"/>
      <w:marLeft w:val="0"/>
      <w:marRight w:val="0"/>
      <w:marTop w:val="0"/>
      <w:marBottom w:val="0"/>
      <w:divBdr>
        <w:top w:val="none" w:sz="0" w:space="0" w:color="auto"/>
        <w:left w:val="none" w:sz="0" w:space="0" w:color="auto"/>
        <w:bottom w:val="none" w:sz="0" w:space="0" w:color="auto"/>
        <w:right w:val="none" w:sz="0" w:space="0" w:color="auto"/>
      </w:divBdr>
    </w:div>
    <w:div w:id="1370763873">
      <w:bodyDiv w:val="1"/>
      <w:marLeft w:val="0"/>
      <w:marRight w:val="0"/>
      <w:marTop w:val="0"/>
      <w:marBottom w:val="0"/>
      <w:divBdr>
        <w:top w:val="none" w:sz="0" w:space="0" w:color="auto"/>
        <w:left w:val="none" w:sz="0" w:space="0" w:color="auto"/>
        <w:bottom w:val="none" w:sz="0" w:space="0" w:color="auto"/>
        <w:right w:val="none" w:sz="0" w:space="0" w:color="auto"/>
      </w:divBdr>
    </w:div>
    <w:div w:id="1438333511">
      <w:bodyDiv w:val="1"/>
      <w:marLeft w:val="0"/>
      <w:marRight w:val="0"/>
      <w:marTop w:val="0"/>
      <w:marBottom w:val="0"/>
      <w:divBdr>
        <w:top w:val="none" w:sz="0" w:space="0" w:color="auto"/>
        <w:left w:val="none" w:sz="0" w:space="0" w:color="auto"/>
        <w:bottom w:val="none" w:sz="0" w:space="0" w:color="auto"/>
        <w:right w:val="none" w:sz="0" w:space="0" w:color="auto"/>
      </w:divBdr>
    </w:div>
    <w:div w:id="1954750613">
      <w:bodyDiv w:val="1"/>
      <w:marLeft w:val="0"/>
      <w:marRight w:val="0"/>
      <w:marTop w:val="0"/>
      <w:marBottom w:val="0"/>
      <w:divBdr>
        <w:top w:val="none" w:sz="0" w:space="0" w:color="auto"/>
        <w:left w:val="none" w:sz="0" w:space="0" w:color="auto"/>
        <w:bottom w:val="none" w:sz="0" w:space="0" w:color="auto"/>
        <w:right w:val="none" w:sz="0" w:space="0" w:color="auto"/>
      </w:divBdr>
    </w:div>
    <w:div w:id="21067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_lookup?journal=Journal%20of%20Law,%20Medicine%20&amp;%20Ethics&amp;author=R.%20De%20Vries&amp;volume=32&amp;publication_year=2003&amp;pages=279-292&amp;pmid=15301193&amp;doi=10.1111/j.1748-720X.2004.tb00475.x&amp;" TargetMode="External"/><Relationship Id="rId18" Type="http://schemas.openxmlformats.org/officeDocument/2006/relationships/hyperlink" Target="https://scholar.google.com/scholar_lookup?journal=Current%20Sociology&amp;author=E.%20Freidson&amp;volume=10%E2%80%9311&amp;publication_year=1961a&amp;pages=123-140&amp;" TargetMode="External"/><Relationship Id="rId26" Type="http://schemas.openxmlformats.org/officeDocument/2006/relationships/hyperlink" Target="https://pmc.ncbi.nlm.nih.gov/articles/PMC1621094/" TargetMode="External"/><Relationship Id="rId39" Type="http://schemas.openxmlformats.org/officeDocument/2006/relationships/hyperlink" Target="https://pubmed.ncbi.nlm.nih.gov/3253322/" TargetMode="External"/><Relationship Id="rId21" Type="http://schemas.openxmlformats.org/officeDocument/2006/relationships/hyperlink" Target="https://scholar.google.com/scholar_lookup?title=Professional%20dominance:%20The%20social%20structure%20of%20medical%20care&amp;author=E%20Freidson&amp;publication_year=1970b&amp;" TargetMode="External"/><Relationship Id="rId34" Type="http://schemas.openxmlformats.org/officeDocument/2006/relationships/hyperlink" Target="https://scholar.google.com/scholar_lookup?journal=Social%20Science%20&amp;%20Medicine&amp;author=N.%20Krieger&amp;volume=39&amp;issue=7&amp;publication_year=1994&amp;pages=887-903&amp;pmid=7992123&amp;doi=10.1016/0277-9536(94)90202-X&amp;" TargetMode="External"/><Relationship Id="rId42" Type="http://schemas.openxmlformats.org/officeDocument/2006/relationships/hyperlink" Target="https://scholar.google.com/scholar_lookup?journal=Social%20Psychiatry&amp;author=D.%20Mechanic&amp;volume=1&amp;issue=1&amp;publication_year=1966&amp;pages=11-20&amp;doi=10.1007/BF00583824&amp;" TargetMode="External"/><Relationship Id="rId47" Type="http://schemas.openxmlformats.org/officeDocument/2006/relationships/hyperlink" Target="https://scholar.google.com/scholar_lookup?journal=Sociology&amp;title=Something%20old,%20something%20new%E2%80%A6:%20Sociology%20and%20the%20organisation%20of%20psychiatry&amp;author=D.%20Pilgrim&amp;author=A.%20Rogers&amp;volume=28&amp;issue=2&amp;publication_year=1994&amp;pages=521-538&amp;" TargetMode="External"/><Relationship Id="rId50" Type="http://schemas.openxmlformats.org/officeDocument/2006/relationships/hyperlink" Target="https://scholar.google.com/scholar_lookup?title=The%20study%20of%20sociology&amp;author=H.%20Spencer&amp;publication_year=1891&amp;" TargetMode="External"/><Relationship Id="rId55" Type="http://schemas.openxmlformats.org/officeDocument/2006/relationships/hyperlink" Target="https://scholar.google.com/scholar_lookup?journal=American%20Sociological%20Review&amp;author=R.%20Straus&amp;volume=22&amp;publication_year=1957&amp;pages=200-204&amp;doi=10.2307/2088858&amp;" TargetMode="External"/><Relationship Id="rId7" Type="http://schemas.openxmlformats.org/officeDocument/2006/relationships/hyperlink" Target="https://scholar.google.com/scholar_lookup?journal=Medical%20Sociology%20Online&amp;title=The%20biographical%20turn%20and%20the%20%E2%80%98sociolization%E2%80%99%20of%20medicine&amp;author=R.%20S%20Barbour&amp;volume=6&amp;issue=1&amp;publication_year=2011&amp;pages=15-25&amp;" TargetMode="External"/><Relationship Id="rId12" Type="http://schemas.openxmlformats.org/officeDocument/2006/relationships/hyperlink" Target="https://pubmed.ncbi.nlm.nih.gov/15301193/" TargetMode="External"/><Relationship Id="rId17" Type="http://schemas.openxmlformats.org/officeDocument/2006/relationships/hyperlink" Target="https://scholar.google.com/scholar_lookup?title=Mortality%20and%20society%20in%20Sub-Saharan%20Africa&amp;author=B.%20J%20Feyisetan&amp;author=L.%20Adeokun&amp;publication_year=1992&amp;" TargetMode="External"/><Relationship Id="rId25" Type="http://schemas.openxmlformats.org/officeDocument/2006/relationships/hyperlink" Target="https://doi.org/10.1371/journal.pmed.0030419" TargetMode="External"/><Relationship Id="rId33" Type="http://schemas.openxmlformats.org/officeDocument/2006/relationships/hyperlink" Target="https://pubmed.ncbi.nlm.nih.gov/7992123/" TargetMode="External"/><Relationship Id="rId38" Type="http://schemas.openxmlformats.org/officeDocument/2006/relationships/hyperlink" Target="https://doi.org/10.2307/2136865" TargetMode="External"/><Relationship Id="rId46" Type="http://schemas.openxmlformats.org/officeDocument/2006/relationships/hyperlink" Target="https://scholar.google.com/scholar_lookup?journal=Medical%20Sociology%20Online&amp;title=Can%20and%20should%20sociology%20save%20bioethics?&amp;author=A.%20Petersen&amp;volume=6&amp;issue=1&amp;publication_year=2011&amp;pages=2-14&amp;"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lar.google.com/scholar_lookup?journal=Health%20Transition%20Review&amp;author=B.%20J%20Feyisetan&amp;author=S.%20Asa&amp;author=J.%20A%20Ebigbola&amp;volume=7&amp;publication_year=1997&amp;pages=221-234&amp;pmid=10176379&amp;" TargetMode="External"/><Relationship Id="rId20" Type="http://schemas.openxmlformats.org/officeDocument/2006/relationships/hyperlink" Target="https://scholar.google.com/scholar_lookup?title=Profession%20of%20medicine:%20A%20study%20of%20the%20sociology%20of%20applied%20knowledge&amp;author=E%20Freidson&amp;publication_year=1970a&amp;" TargetMode="External"/><Relationship Id="rId29" Type="http://schemas.openxmlformats.org/officeDocument/2006/relationships/hyperlink" Target="https://scholar.google.com/scholar_lookup?journal=Nordic%20Journal%20of%20African%20Studies&amp;author=A.%20S%20Jegede&amp;volume=11&amp;issue=3&amp;publication_year=2002&amp;pages=322-335&amp;" TargetMode="External"/><Relationship Id="rId41" Type="http://schemas.openxmlformats.org/officeDocument/2006/relationships/hyperlink" Target="https://doi.org/10.1007/BF00583824" TargetMode="External"/><Relationship Id="rId54" Type="http://schemas.openxmlformats.org/officeDocument/2006/relationships/hyperlink" Target="https://doi.org/10.2307/2088858" TargetMode="External"/><Relationship Id="rId1" Type="http://schemas.openxmlformats.org/officeDocument/2006/relationships/numbering" Target="numbering.xml"/><Relationship Id="rId6" Type="http://schemas.openxmlformats.org/officeDocument/2006/relationships/hyperlink" Target="https://scholar.google.com/scholar_lookup?journal=Jos%20Journal%20of%20Social%20Issues&amp;title=Ontological%20response%20to%20illness&amp;author=O%20Alubo&amp;volume=6&amp;publication_year=2008&amp;pages=1-16&amp;" TargetMode="External"/><Relationship Id="rId11" Type="http://schemas.openxmlformats.org/officeDocument/2006/relationships/hyperlink" Target="https://doi.org/10.1111/j.1748-720X.2004.tb00475.x" TargetMode="External"/><Relationship Id="rId24" Type="http://schemas.openxmlformats.org/officeDocument/2006/relationships/hyperlink" Target="https://scholar.google.com/scholar_lookup?title=The%20time%20for%20death&amp;author=B.%20G%20Glaser&amp;author=A.%20L%20Strauss&amp;publication_year=1968&amp;" TargetMode="External"/><Relationship Id="rId32" Type="http://schemas.openxmlformats.org/officeDocument/2006/relationships/hyperlink" Target="https://doi.org/10.1016/0277-9536(94)90202-X" TargetMode="External"/><Relationship Id="rId37" Type="http://schemas.openxmlformats.org/officeDocument/2006/relationships/hyperlink" Target="https://scholar.google.com/scholar_lookup?journal=International%20Journal%20of%20Epidemiology&amp;author=N.%20Krieger&amp;volume=30&amp;publication_year=2001&amp;pages=668-677&amp;pmid=11511581&amp;doi=10.1093/ije/30.4.668&amp;" TargetMode="External"/><Relationship Id="rId40" Type="http://schemas.openxmlformats.org/officeDocument/2006/relationships/hyperlink" Target="https://scholar.google.com/scholar_lookup?journal=Journal%20of%20Health%20and%20Social%20Behaviour&amp;author=D.%20W%20Light&amp;volume=29&amp;issue=4&amp;publication_year=1988&amp;pages=307-322&amp;pmid=3253322&amp;doi=10.2307/2136865&amp;" TargetMode="External"/><Relationship Id="rId45" Type="http://schemas.openxmlformats.org/officeDocument/2006/relationships/hyperlink" Target="https://scholar.google.com/scholar_lookup?journal=Health%20Affairs&amp;author=D.%20Mechanic&amp;volume=9&amp;issue=1&amp;publication_year=1990&amp;pages=85-97&amp;pmid=2323725&amp;doi=10.1377/hlthaff.9.1.85&amp;" TargetMode="External"/><Relationship Id="rId53" Type="http://schemas.openxmlformats.org/officeDocument/2006/relationships/hyperlink" Target="https://scholar.google.com/scholar_lookup?journal=Sociology&amp;author=M.%20Stacey&amp;author=H.%20Homans&amp;volume=12&amp;publication_year=1978&amp;pages=281-307&amp;doi=10.1177/003803857801200206&amp;" TargetMode="External"/><Relationship Id="rId58" Type="http://schemas.openxmlformats.org/officeDocument/2006/relationships/fontTable" Target="fontTable.xml"/><Relationship Id="rId5" Type="http://schemas.openxmlformats.org/officeDocument/2006/relationships/hyperlink" Target="https://pmc.ncbi.nlm.nih.gov/articles/PMC7121984/" TargetMode="External"/><Relationship Id="rId15" Type="http://schemas.openxmlformats.org/officeDocument/2006/relationships/hyperlink" Target="https://pubmed.ncbi.nlm.nih.gov/10176379/" TargetMode="External"/><Relationship Id="rId23" Type="http://schemas.openxmlformats.org/officeDocument/2006/relationships/hyperlink" Target="https://scholar.google.com/scholar_lookup?title=Awareness%20of%20dying&amp;author=B.%20G%20Glaser&amp;author=A.%20L%20Strauss&amp;publication_year=1965&amp;" TargetMode="External"/><Relationship Id="rId28" Type="http://schemas.openxmlformats.org/officeDocument/2006/relationships/hyperlink" Target="https://scholar.google.com/scholar_lookup?journal=Research%20Ethics&amp;title=The%20sociology%20of%20bioethics:%20The%20%E2%80%98is%E2%80%99%20and%20the%20%E2%80%98ought%E2%80%99&amp;author=S.%20J.%20Humphreys&amp;volume=4&amp;issue=2&amp;publication_year=2008&amp;pages=47-51&amp;" TargetMode="External"/><Relationship Id="rId36" Type="http://schemas.openxmlformats.org/officeDocument/2006/relationships/hyperlink" Target="https://pubmed.ncbi.nlm.nih.gov/11511581/" TargetMode="External"/><Relationship Id="rId49" Type="http://schemas.openxmlformats.org/officeDocument/2006/relationships/hyperlink" Target="https://scholar.google.com/scholar_lookup?journal=International%20Sociology&amp;author=N.%20J%20Smelser&amp;volume=11&amp;publication_year=1996&amp;pages=275-290&amp;doi=10.1177/026858096011003001&amp;" TargetMode="External"/><Relationship Id="rId57" Type="http://schemas.openxmlformats.org/officeDocument/2006/relationships/hyperlink" Target="https://scholar.google.com/scholar_lookup?journal=Journal%20of%20Health%20and%20Social%20Behavior&amp;title=Medical%20sociology:%20A%20personal%20fifty%20year%20perspective&amp;author=R.%20Straus&amp;volume=40&amp;issue=2&amp;publication_year=1999&amp;pages=103-110&amp;pmid=10467757&amp;" TargetMode="External"/><Relationship Id="rId10" Type="http://schemas.openxmlformats.org/officeDocument/2006/relationships/hyperlink" Target="https://scholar.google.com/scholar_lookup?journal=Health&amp;author=P%20Conrad&amp;volume=11&amp;publication_year=2007&amp;pages=141-144&amp;pmid=17344268&amp;doi=10.1177/1363459307074688&amp;" TargetMode="External"/><Relationship Id="rId19" Type="http://schemas.openxmlformats.org/officeDocument/2006/relationships/hyperlink" Target="https://scholar.google.com/scholar_lookup?title=Patients%E2%80%99%20views%20of%20medical%20practice&amp;author=E.%20Freidson&amp;publication_year=1961b&amp;" TargetMode="External"/><Relationship Id="rId31" Type="http://schemas.openxmlformats.org/officeDocument/2006/relationships/hyperlink" Target="https://scholar.google.com/scholar_lookup?journal=Medicina&amp;author=R.%20Kaminskas&amp;author=Z.%20Darulis&amp;volume=43&amp;issue=2&amp;publication_year=2007&amp;pages=110-117&amp;pmid=17329945&amp;" TargetMode="External"/><Relationship Id="rId44" Type="http://schemas.openxmlformats.org/officeDocument/2006/relationships/hyperlink" Target="https://pubmed.ncbi.nlm.nih.gov/2323725/" TargetMode="External"/><Relationship Id="rId52" Type="http://schemas.openxmlformats.org/officeDocument/2006/relationships/hyperlink" Target="https://doi.org/10.1177/003803857801200206" TargetMode="External"/><Relationship Id="rId4" Type="http://schemas.openxmlformats.org/officeDocument/2006/relationships/webSettings" Target="webSettings.xml"/><Relationship Id="rId9" Type="http://schemas.openxmlformats.org/officeDocument/2006/relationships/hyperlink" Target="https://pubmed.ncbi.nlm.nih.gov/17344268/" TargetMode="External"/><Relationship Id="rId14" Type="http://schemas.openxmlformats.org/officeDocument/2006/relationships/hyperlink" Target="https://scholar.google.com/scholar_lookup?title=Suicide:%20A%20study%20in%20sociology&amp;author=E.%20Durkheim&amp;publication_year=1951&amp;" TargetMode="External"/><Relationship Id="rId22" Type="http://schemas.openxmlformats.org/officeDocument/2006/relationships/hyperlink" Target="https://scholar.google.com/scholar_lookup?title=Doctoring%20together:%20A%20study%20of%20professional%20social%20control&amp;author=E%20Freidson&amp;publication_year=1975&amp;" TargetMode="External"/><Relationship Id="rId27" Type="http://schemas.openxmlformats.org/officeDocument/2006/relationships/hyperlink" Target="https://pubmed.ncbi.nlm.nih.gov/17076555/" TargetMode="External"/><Relationship Id="rId30" Type="http://schemas.openxmlformats.org/officeDocument/2006/relationships/hyperlink" Target="https://pubmed.ncbi.nlm.nih.gov/17329945/" TargetMode="External"/><Relationship Id="rId35" Type="http://schemas.openxmlformats.org/officeDocument/2006/relationships/hyperlink" Target="https://doi.org/10.1093/ije/30.4.668" TargetMode="External"/><Relationship Id="rId43" Type="http://schemas.openxmlformats.org/officeDocument/2006/relationships/hyperlink" Target="https://doi.org/10.1377/hlthaff.9.1.85" TargetMode="External"/><Relationship Id="rId48" Type="http://schemas.openxmlformats.org/officeDocument/2006/relationships/hyperlink" Target="https://doi.org/10.1177/026858096011003001" TargetMode="External"/><Relationship Id="rId56" Type="http://schemas.openxmlformats.org/officeDocument/2006/relationships/hyperlink" Target="https://pubmed.ncbi.nlm.nih.gov/10467757/" TargetMode="External"/><Relationship Id="rId8" Type="http://schemas.openxmlformats.org/officeDocument/2006/relationships/hyperlink" Target="https://doi.org/10.1177/1363459307074688" TargetMode="External"/><Relationship Id="rId51" Type="http://schemas.openxmlformats.org/officeDocument/2006/relationships/hyperlink" Target="https://scholar.google.com/scholar_lookup?title=The%20principles%20of%20sociology&amp;author=H.%20Spencer&amp;publication_year=1896&am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33</Pages>
  <Words>10396</Words>
  <Characters>59263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11</cp:revision>
  <dcterms:created xsi:type="dcterms:W3CDTF">2023-04-05T16:55:00Z</dcterms:created>
  <dcterms:modified xsi:type="dcterms:W3CDTF">2025-02-18T18:24:00Z</dcterms:modified>
</cp:coreProperties>
</file>